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45" w:right="45" w:firstLine="641"/>
        <w:jc w:val="center"/>
        <w:textAlignment w:val="auto"/>
        <w:rPr>
          <w:rFonts w:hint="eastAsia" w:ascii="黑体" w:hAnsi="黑体" w:eastAsia="黑体" w:cs="黑体"/>
          <w:i w:val="0"/>
          <w:caps w:val="0"/>
          <w:color w:val="000000"/>
          <w:spacing w:val="0"/>
          <w:sz w:val="44"/>
          <w:szCs w:val="44"/>
          <w:shd w:val="clear" w:fill="FFFFFF"/>
          <w:lang w:val="en-US" w:eastAsia="zh-CN"/>
        </w:rPr>
      </w:pPr>
      <w:r>
        <w:rPr>
          <w:rFonts w:hint="eastAsia" w:ascii="黑体" w:hAnsi="黑体" w:eastAsia="黑体" w:cs="黑体"/>
          <w:i w:val="0"/>
          <w:caps w:val="0"/>
          <w:color w:val="000000"/>
          <w:spacing w:val="0"/>
          <w:sz w:val="44"/>
          <w:szCs w:val="44"/>
          <w:shd w:val="clear" w:fill="FFFFFF"/>
          <w:lang w:val="en-US" w:eastAsia="zh-CN"/>
        </w:rPr>
        <w:t>沈丘县交通运输局</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45" w:right="45" w:firstLine="641"/>
        <w:jc w:val="center"/>
        <w:textAlignment w:val="auto"/>
        <w:rPr>
          <w:rFonts w:hint="eastAsia" w:ascii="黑体" w:hAnsi="黑体" w:eastAsia="黑体" w:cs="黑体"/>
          <w:i w:val="0"/>
          <w:caps w:val="0"/>
          <w:color w:val="000000"/>
          <w:spacing w:val="0"/>
          <w:sz w:val="44"/>
          <w:szCs w:val="44"/>
          <w:shd w:val="clear" w:fill="FFFFFF"/>
          <w:lang w:val="en-US" w:eastAsia="zh-CN"/>
        </w:rPr>
      </w:pPr>
      <w:r>
        <w:rPr>
          <w:rFonts w:hint="eastAsia" w:ascii="黑体" w:hAnsi="黑体" w:eastAsia="黑体" w:cs="黑体"/>
          <w:i w:val="0"/>
          <w:caps w:val="0"/>
          <w:color w:val="000000"/>
          <w:spacing w:val="0"/>
          <w:sz w:val="44"/>
          <w:szCs w:val="44"/>
          <w:shd w:val="clear" w:fill="FFFFFF"/>
          <w:lang w:val="en-US" w:eastAsia="zh-CN"/>
        </w:rPr>
        <w:t>政务信息公开工作年度报告</w:t>
      </w:r>
    </w:p>
    <w:p>
      <w:pPr>
        <w:pStyle w:val="2"/>
        <w:keepNext w:val="0"/>
        <w:keepLines w:val="0"/>
        <w:widowControl/>
        <w:suppressLineNumbers w:val="0"/>
        <w:shd w:val="clear" w:fill="FFFFFF"/>
        <w:spacing w:before="45" w:beforeAutospacing="0" w:after="45" w:afterAutospacing="0" w:line="540" w:lineRule="atLeast"/>
        <w:ind w:left="45" w:right="45" w:firstLine="640"/>
        <w:jc w:val="both"/>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一、总体情况</w:t>
      </w:r>
      <w:bookmarkStart w:id="0" w:name="_GoBack"/>
      <w:bookmarkEnd w:id="0"/>
    </w:p>
    <w:p>
      <w:pPr>
        <w:pStyle w:val="2"/>
        <w:keepNext w:val="0"/>
        <w:keepLines w:val="0"/>
        <w:widowControl/>
        <w:suppressLineNumbers w:val="0"/>
        <w:shd w:val="clear" w:fill="FFFFFF"/>
        <w:spacing w:before="45" w:beforeAutospacing="0" w:after="45" w:afterAutospacing="0" w:line="540" w:lineRule="atLeast"/>
        <w:ind w:left="45" w:right="45" w:firstLine="640"/>
        <w:jc w:val="both"/>
        <w:textAlignment w:val="top"/>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2019年，我局按照</w:t>
      </w:r>
      <w:r>
        <w:rPr>
          <w:rFonts w:hint="eastAsia" w:ascii="仿宋" w:hAnsi="仿宋" w:eastAsia="仿宋" w:cs="仿宋"/>
          <w:i w:val="0"/>
          <w:caps w:val="0"/>
          <w:color w:val="000000"/>
          <w:spacing w:val="0"/>
          <w:sz w:val="32"/>
          <w:szCs w:val="32"/>
          <w:shd w:val="clear" w:fill="FFFFFF"/>
          <w:lang w:val="en-US" w:eastAsia="zh-CN"/>
        </w:rPr>
        <w:t>沈丘</w:t>
      </w:r>
      <w:r>
        <w:rPr>
          <w:rFonts w:hint="eastAsia" w:ascii="仿宋" w:hAnsi="仿宋" w:eastAsia="仿宋" w:cs="仿宋"/>
          <w:i w:val="0"/>
          <w:caps w:val="0"/>
          <w:color w:val="000000"/>
          <w:spacing w:val="0"/>
          <w:sz w:val="32"/>
          <w:szCs w:val="32"/>
          <w:shd w:val="clear" w:fill="FFFFFF"/>
        </w:rPr>
        <w:t>县人民政府要求，高度重视政府信息公开工作，依据《中华人民共和国政府信息公开条例》，加强组织领导，精心研究部署，狠抓落实。按要求更新、补充公开信息，把涉及人民群众切身利益的热点方面作为公开重点，同时确保信息发布的及时、安全。自2019年1月1日至12月31日止，我局主动公开政务信息</w:t>
      </w:r>
      <w:r>
        <w:rPr>
          <w:rFonts w:hint="eastAsia" w:ascii="仿宋" w:hAnsi="仿宋" w:eastAsia="仿宋" w:cs="仿宋"/>
          <w:i w:val="0"/>
          <w:caps w:val="0"/>
          <w:color w:val="000000"/>
          <w:spacing w:val="0"/>
          <w:sz w:val="32"/>
          <w:szCs w:val="32"/>
          <w:shd w:val="clear" w:fill="FFFFFF"/>
          <w:lang w:val="en-US" w:eastAsia="zh-CN"/>
        </w:rPr>
        <w:t>1</w:t>
      </w:r>
      <w:r>
        <w:rPr>
          <w:rFonts w:hint="eastAsia" w:ascii="仿宋" w:hAnsi="仿宋" w:eastAsia="仿宋" w:cs="仿宋"/>
          <w:i w:val="0"/>
          <w:caps w:val="0"/>
          <w:color w:val="000000"/>
          <w:spacing w:val="0"/>
          <w:sz w:val="32"/>
          <w:szCs w:val="32"/>
          <w:shd w:val="clear" w:fill="FFFFFF"/>
        </w:rPr>
        <w:t>条，无依申请公开政府信息，无因政府信息公开申请行政复议、提起行政诉讼的情况。</w:t>
      </w:r>
    </w:p>
    <w:p>
      <w:pPr>
        <w:pStyle w:val="2"/>
        <w:keepNext w:val="0"/>
        <w:keepLines w:val="0"/>
        <w:widowControl/>
        <w:suppressLineNumbers w:val="0"/>
        <w:shd w:val="clear" w:fill="FFFFFF"/>
        <w:spacing w:before="45" w:beforeAutospacing="0" w:after="45" w:afterAutospacing="0" w:line="640" w:lineRule="atLeast"/>
        <w:ind w:left="45" w:right="45" w:firstLine="640"/>
        <w:jc w:val="left"/>
        <w:textAlignment w:val="top"/>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二、主动公开政府信息情况</w:t>
      </w:r>
    </w:p>
    <w:tbl>
      <w:tblPr>
        <w:tblW w:w="8401" w:type="dxa"/>
        <w:jc w:val="center"/>
        <w:shd w:val="clear"/>
        <w:tblLayout w:type="autofit"/>
        <w:tblCellMar>
          <w:top w:w="0" w:type="dxa"/>
          <w:left w:w="0" w:type="dxa"/>
          <w:bottom w:w="0" w:type="dxa"/>
          <w:right w:w="0" w:type="dxa"/>
        </w:tblCellMar>
      </w:tblPr>
      <w:tblGrid>
        <w:gridCol w:w="2714"/>
        <w:gridCol w:w="2000"/>
        <w:gridCol w:w="1650"/>
        <w:gridCol w:w="2037"/>
      </w:tblGrid>
      <w:tr>
        <w:tblPrEx>
          <w:shd w:val="clear"/>
          <w:tblCellMar>
            <w:top w:w="0" w:type="dxa"/>
            <w:left w:w="0" w:type="dxa"/>
            <w:bottom w:w="0" w:type="dxa"/>
            <w:right w:w="0" w:type="dxa"/>
          </w:tblCellMar>
        </w:tblPrEx>
        <w:trPr>
          <w:jc w:val="center"/>
        </w:trPr>
        <w:tc>
          <w:tcPr>
            <w:tcW w:w="8401" w:type="dxa"/>
            <w:gridSpan w:val="4"/>
            <w:tcBorders>
              <w:top w:val="single" w:color="auto" w:sz="8" w:space="0"/>
              <w:left w:val="single" w:color="auto" w:sz="8" w:space="0"/>
              <w:bottom w:val="single" w:color="auto" w:sz="8" w:space="0"/>
              <w:right w:val="single" w:color="auto" w:sz="8" w:space="0"/>
            </w:tcBorders>
            <w:shd w:val="clear" w:color="auto" w:fill="C6D9F1"/>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第二十条第（一）项</w:t>
            </w:r>
          </w:p>
        </w:tc>
      </w:tr>
      <w:tr>
        <w:tblPrEx>
          <w:shd w:val="cle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信息内容</w:t>
            </w:r>
          </w:p>
        </w:tc>
        <w:tc>
          <w:tcPr>
            <w:tcW w:w="2000" w:type="dxa"/>
            <w:tcBorders>
              <w:top w:val="single" w:color="auto" w:sz="8" w:space="0"/>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本年新</w:t>
            </w:r>
            <w:r>
              <w:rPr>
                <w:rFonts w:hint="eastAsia" w:ascii="宋体" w:hAnsi="宋体" w:eastAsia="宋体" w:cs="宋体"/>
                <w:color w:val="000000"/>
                <w:sz w:val="21"/>
                <w:szCs w:val="21"/>
              </w:rPr>
              <w:br w:type="textWrapping"/>
            </w:r>
            <w:r>
              <w:rPr>
                <w:rFonts w:hint="eastAsia" w:ascii="宋体" w:hAnsi="宋体" w:eastAsia="宋体" w:cs="宋体"/>
                <w:sz w:val="21"/>
                <w:szCs w:val="21"/>
              </w:rPr>
              <w:t>制作数量</w:t>
            </w:r>
          </w:p>
        </w:tc>
        <w:tc>
          <w:tcPr>
            <w:tcW w:w="165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本年新</w:t>
            </w:r>
            <w:r>
              <w:rPr>
                <w:rFonts w:hint="eastAsia" w:ascii="宋体" w:hAnsi="宋体" w:eastAsia="宋体" w:cs="宋体"/>
                <w:color w:val="000000"/>
                <w:sz w:val="21"/>
                <w:szCs w:val="21"/>
              </w:rPr>
              <w:br w:type="textWrapping"/>
            </w:r>
            <w:r>
              <w:rPr>
                <w:rFonts w:hint="eastAsia" w:ascii="宋体" w:hAnsi="宋体" w:eastAsia="宋体" w:cs="宋体"/>
                <w:sz w:val="21"/>
                <w:szCs w:val="21"/>
              </w:rPr>
              <w:t>公开数量</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对外公开</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总数量</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规章</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165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规范性文件</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165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r>
      <w:tr>
        <w:tblPrEx>
          <w:shd w:val="clear"/>
          <w:tblCellMar>
            <w:top w:w="0" w:type="dxa"/>
            <w:left w:w="0" w:type="dxa"/>
            <w:bottom w:w="0" w:type="dxa"/>
            <w:right w:w="0" w:type="dxa"/>
          </w:tblCellMar>
        </w:tblPrEx>
        <w:trPr>
          <w:jc w:val="center"/>
        </w:trPr>
        <w:tc>
          <w:tcPr>
            <w:tcW w:w="8401" w:type="dxa"/>
            <w:gridSpan w:val="4"/>
            <w:tcBorders>
              <w:top w:val="nil"/>
              <w:left w:val="single" w:color="auto" w:sz="8" w:space="0"/>
              <w:bottom w:val="single" w:color="auto" w:sz="8" w:space="0"/>
              <w:right w:val="single" w:color="auto" w:sz="8" w:space="0"/>
            </w:tcBorders>
            <w:shd w:val="clear" w:color="auto" w:fill="C6D9F1"/>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第二十条第（五）项</w:t>
            </w:r>
          </w:p>
        </w:tc>
      </w:tr>
      <w:tr>
        <w:tblPrEx>
          <w:shd w:val="cle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信息内容</w:t>
            </w:r>
          </w:p>
        </w:tc>
        <w:tc>
          <w:tcPr>
            <w:tcW w:w="2000" w:type="dxa"/>
            <w:tcBorders>
              <w:top w:val="single" w:color="auto" w:sz="8" w:space="0"/>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上一年</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项目数量</w:t>
            </w:r>
          </w:p>
        </w:tc>
        <w:tc>
          <w:tcPr>
            <w:tcW w:w="165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本年增/减</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处理决定</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数量</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行政许可</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default" w:eastAsiaTheme="minorEastAsia"/>
                <w:lang w:val="en-US" w:eastAsia="zh-CN"/>
              </w:rPr>
            </w:pPr>
            <w:r>
              <w:rPr>
                <w:rFonts w:hint="eastAsia" w:ascii="宋体" w:hAnsi="宋体" w:eastAsia="宋体" w:cs="宋体"/>
                <w:sz w:val="21"/>
                <w:szCs w:val="21"/>
                <w:lang w:val="en-US" w:eastAsia="zh-CN"/>
              </w:rPr>
              <w:t>41</w:t>
            </w:r>
          </w:p>
        </w:tc>
        <w:tc>
          <w:tcPr>
            <w:tcW w:w="165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eastAsia" w:eastAsiaTheme="minorEastAsia"/>
                <w:lang w:eastAsia="zh-CN"/>
              </w:rPr>
            </w:pPr>
            <w:r>
              <w:rPr>
                <w:rFonts w:hint="eastAsia" w:ascii="宋体" w:hAnsi="宋体" w:eastAsia="宋体" w:cs="宋体"/>
                <w:sz w:val="21"/>
                <w:szCs w:val="21"/>
                <w:lang w:val="en-US" w:eastAsia="zh-CN"/>
              </w:rPr>
              <w:t>0</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default" w:eastAsiaTheme="minorEastAsia"/>
                <w:lang w:val="en-US" w:eastAsia="zh-CN"/>
              </w:rPr>
            </w:pPr>
            <w:r>
              <w:rPr>
                <w:rFonts w:hint="eastAsia" w:ascii="宋体" w:hAnsi="宋体" w:eastAsia="宋体" w:cs="宋体"/>
                <w:sz w:val="21"/>
                <w:szCs w:val="21"/>
                <w:lang w:val="en-US" w:eastAsia="zh-CN"/>
              </w:rPr>
              <w:t>242</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其他对外管理</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服务事项</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165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r>
      <w:tr>
        <w:tblPrEx>
          <w:shd w:val="clear"/>
          <w:tblCellMar>
            <w:top w:w="0" w:type="dxa"/>
            <w:left w:w="0" w:type="dxa"/>
            <w:bottom w:w="0" w:type="dxa"/>
            <w:right w:w="0" w:type="dxa"/>
          </w:tblCellMar>
        </w:tblPrEx>
        <w:trPr>
          <w:jc w:val="center"/>
        </w:trPr>
        <w:tc>
          <w:tcPr>
            <w:tcW w:w="8401" w:type="dxa"/>
            <w:gridSpan w:val="4"/>
            <w:tcBorders>
              <w:top w:val="nil"/>
              <w:left w:val="single" w:color="auto" w:sz="8" w:space="0"/>
              <w:bottom w:val="single" w:color="auto" w:sz="8" w:space="0"/>
              <w:right w:val="single" w:color="auto" w:sz="8" w:space="0"/>
            </w:tcBorders>
            <w:shd w:val="clear" w:color="auto" w:fill="C6D9F1"/>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第二十条第（六）项</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信息内容</w:t>
            </w:r>
          </w:p>
        </w:tc>
        <w:tc>
          <w:tcPr>
            <w:tcW w:w="2000" w:type="dxa"/>
            <w:tcBorders>
              <w:top w:val="single" w:color="auto" w:sz="8" w:space="0"/>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上一年</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项目数量</w:t>
            </w:r>
          </w:p>
        </w:tc>
        <w:tc>
          <w:tcPr>
            <w:tcW w:w="165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本年增/减</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处理决定</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数量</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行政处罚</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default" w:eastAsiaTheme="minorEastAsia"/>
                <w:lang w:val="en-US" w:eastAsia="zh-CN"/>
              </w:rPr>
            </w:pPr>
            <w:r>
              <w:rPr>
                <w:rFonts w:hint="eastAsia" w:ascii="宋体" w:hAnsi="宋体" w:eastAsia="宋体" w:cs="宋体"/>
                <w:color w:val="000000"/>
                <w:sz w:val="21"/>
                <w:szCs w:val="21"/>
                <w:lang w:val="en-US" w:eastAsia="zh-CN"/>
              </w:rPr>
              <w:t>137</w:t>
            </w:r>
          </w:p>
        </w:tc>
        <w:tc>
          <w:tcPr>
            <w:tcW w:w="165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eastAsia" w:eastAsiaTheme="minorEastAsia"/>
                <w:lang w:eastAsia="zh-CN"/>
              </w:rPr>
            </w:pPr>
            <w:r>
              <w:rPr>
                <w:rFonts w:hint="eastAsia" w:ascii="宋体" w:hAnsi="宋体" w:eastAsia="宋体" w:cs="宋体"/>
                <w:color w:val="000000"/>
                <w:sz w:val="21"/>
                <w:szCs w:val="21"/>
                <w:lang w:val="en-US" w:eastAsia="zh-CN"/>
              </w:rPr>
              <w:t>0</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default" w:eastAsiaTheme="minorEastAsia"/>
                <w:lang w:val="en-US" w:eastAsia="zh-CN"/>
              </w:rPr>
            </w:pPr>
            <w:r>
              <w:rPr>
                <w:rFonts w:hint="eastAsia" w:ascii="宋体" w:hAnsi="宋体" w:eastAsia="宋体" w:cs="宋体"/>
                <w:color w:val="000000"/>
                <w:sz w:val="21"/>
                <w:szCs w:val="21"/>
                <w:lang w:val="en-US" w:eastAsia="zh-CN"/>
              </w:rPr>
              <w:t>19</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行政强制</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eastAsia" w:eastAsiaTheme="minorEastAsia"/>
                <w:lang w:eastAsia="zh-CN"/>
              </w:rPr>
            </w:pPr>
            <w:r>
              <w:rPr>
                <w:rFonts w:hint="eastAsia" w:ascii="宋体" w:hAnsi="宋体" w:eastAsia="宋体" w:cs="宋体"/>
                <w:color w:val="000000"/>
                <w:sz w:val="21"/>
                <w:szCs w:val="21"/>
                <w:lang w:val="en-US" w:eastAsia="zh-CN"/>
              </w:rPr>
              <w:t>4</w:t>
            </w:r>
          </w:p>
        </w:tc>
        <w:tc>
          <w:tcPr>
            <w:tcW w:w="165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c>
          <w:tcPr>
            <w:tcW w:w="2037"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0</w:t>
            </w:r>
          </w:p>
        </w:tc>
      </w:tr>
      <w:tr>
        <w:tblPrEx>
          <w:shd w:val="clear"/>
          <w:tblCellMar>
            <w:top w:w="0" w:type="dxa"/>
            <w:left w:w="0" w:type="dxa"/>
            <w:bottom w:w="0" w:type="dxa"/>
            <w:right w:w="0" w:type="dxa"/>
          </w:tblCellMar>
        </w:tblPrEx>
        <w:trPr>
          <w:jc w:val="center"/>
        </w:trPr>
        <w:tc>
          <w:tcPr>
            <w:tcW w:w="8401" w:type="dxa"/>
            <w:gridSpan w:val="4"/>
            <w:tcBorders>
              <w:top w:val="nil"/>
              <w:left w:val="single" w:color="auto" w:sz="8" w:space="0"/>
              <w:bottom w:val="single" w:color="auto" w:sz="8" w:space="0"/>
              <w:right w:val="single" w:color="auto" w:sz="8" w:space="0"/>
            </w:tcBorders>
            <w:shd w:val="clear" w:color="auto" w:fill="C6D9F1"/>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第二十条第（八）项</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信息内容</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上一年</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项目数量</w:t>
            </w:r>
          </w:p>
        </w:tc>
        <w:tc>
          <w:tcPr>
            <w:tcW w:w="3687" w:type="dxa"/>
            <w:gridSpan w:val="2"/>
            <w:tcBorders>
              <w:top w:val="single" w:color="auto" w:sz="8" w:space="0"/>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本年增/减</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行政事业性收费</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sz w:val="21"/>
                <w:szCs w:val="21"/>
              </w:rPr>
              <w:t>0</w:t>
            </w:r>
          </w:p>
        </w:tc>
        <w:tc>
          <w:tcPr>
            <w:tcW w:w="3687" w:type="dxa"/>
            <w:gridSpan w:val="2"/>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8401" w:type="dxa"/>
            <w:gridSpan w:val="4"/>
            <w:tcBorders>
              <w:top w:val="nil"/>
              <w:left w:val="single" w:color="auto" w:sz="8" w:space="0"/>
              <w:bottom w:val="single" w:color="auto" w:sz="8" w:space="0"/>
              <w:right w:val="single" w:color="auto" w:sz="8" w:space="0"/>
            </w:tcBorders>
            <w:shd w:val="clear" w:color="auto" w:fill="C6D9F1"/>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第二十条第（九）项</w:t>
            </w:r>
          </w:p>
        </w:tc>
      </w:tr>
      <w:tr>
        <w:tblPrEx>
          <w:shd w:val="clear"/>
          <w:tblCellMar>
            <w:top w:w="0" w:type="dxa"/>
            <w:left w:w="0" w:type="dxa"/>
            <w:bottom w:w="0" w:type="dxa"/>
            <w:right w:w="0" w:type="dxa"/>
          </w:tblCellMar>
        </w:tblPrEx>
        <w:trPr>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信息内容</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采购项目</w:t>
            </w:r>
          </w:p>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数量</w:t>
            </w:r>
          </w:p>
        </w:tc>
        <w:tc>
          <w:tcPr>
            <w:tcW w:w="3687" w:type="dxa"/>
            <w:gridSpan w:val="2"/>
            <w:tcBorders>
              <w:top w:val="single" w:color="auto" w:sz="8" w:space="0"/>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采购总金额</w:t>
            </w:r>
          </w:p>
        </w:tc>
      </w:tr>
      <w:tr>
        <w:tblPrEx>
          <w:shd w:val="clear"/>
          <w:tblCellMar>
            <w:top w:w="0" w:type="dxa"/>
            <w:left w:w="0" w:type="dxa"/>
            <w:bottom w:w="0" w:type="dxa"/>
            <w:right w:w="0" w:type="dxa"/>
          </w:tblCellMar>
        </w:tblPrEx>
        <w:trPr>
          <w:trHeight w:val="830" w:hRule="atLeast"/>
          <w:jc w:val="center"/>
        </w:trPr>
        <w:tc>
          <w:tcPr>
            <w:tcW w:w="2714" w:type="dxa"/>
            <w:tcBorders>
              <w:top w:val="nil"/>
              <w:left w:val="single" w:color="auto" w:sz="8" w:space="0"/>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pPr>
            <w:r>
              <w:rPr>
                <w:rFonts w:hint="eastAsia" w:ascii="宋体" w:hAnsi="宋体" w:eastAsia="宋体" w:cs="宋体"/>
                <w:color w:val="000000"/>
                <w:sz w:val="21"/>
                <w:szCs w:val="21"/>
              </w:rPr>
              <w:t>政府集中采购</w:t>
            </w:r>
          </w:p>
        </w:tc>
        <w:tc>
          <w:tcPr>
            <w:tcW w:w="2000" w:type="dxa"/>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eastAsia" w:eastAsiaTheme="minorEastAsia"/>
                <w:lang w:eastAsia="zh-CN"/>
              </w:rPr>
            </w:pPr>
            <w:r>
              <w:rPr>
                <w:rFonts w:hint="eastAsia" w:ascii="宋体" w:hAnsi="宋体" w:eastAsia="宋体" w:cs="宋体"/>
                <w:sz w:val="21"/>
                <w:szCs w:val="21"/>
                <w:lang w:val="en-US" w:eastAsia="zh-CN"/>
              </w:rPr>
              <w:t>0</w:t>
            </w:r>
          </w:p>
        </w:tc>
        <w:tc>
          <w:tcPr>
            <w:tcW w:w="3687" w:type="dxa"/>
            <w:gridSpan w:val="2"/>
            <w:tcBorders>
              <w:top w:val="nil"/>
              <w:left w:val="nil"/>
              <w:bottom w:val="single" w:color="auto" w:sz="8" w:space="0"/>
              <w:right w:val="single" w:color="auto" w:sz="8" w:space="0"/>
            </w:tcBorders>
            <w:shd w:val="clear"/>
            <w:noWrap/>
            <w:vAlign w:val="center"/>
          </w:tcPr>
          <w:p>
            <w:pPr>
              <w:pStyle w:val="2"/>
              <w:keepNext w:val="0"/>
              <w:keepLines w:val="0"/>
              <w:widowControl/>
              <w:suppressLineNumbers w:val="0"/>
              <w:spacing w:before="45" w:beforeAutospacing="0" w:after="45" w:afterAutospacing="0" w:line="360" w:lineRule="atLeast"/>
              <w:ind w:left="45" w:right="45"/>
              <w:jc w:val="center"/>
              <w:rPr>
                <w:rFonts w:hint="eastAsia" w:eastAsiaTheme="minorEastAsia"/>
                <w:lang w:eastAsia="zh-CN"/>
              </w:rPr>
            </w:pPr>
            <w:r>
              <w:rPr>
                <w:rFonts w:hint="eastAsia" w:ascii="宋体" w:hAnsi="宋体" w:eastAsia="宋体" w:cs="宋体"/>
                <w:sz w:val="21"/>
                <w:szCs w:val="21"/>
                <w:lang w:val="en-US" w:eastAsia="zh-CN"/>
              </w:rPr>
              <w:t>0</w:t>
            </w:r>
          </w:p>
        </w:tc>
      </w:tr>
    </w:tbl>
    <w:p>
      <w:pPr>
        <w:pStyle w:val="2"/>
        <w:keepNext w:val="0"/>
        <w:keepLines w:val="0"/>
        <w:widowControl/>
        <w:suppressLineNumbers w:val="0"/>
        <w:shd w:val="clear" w:fill="FFFFFF"/>
        <w:spacing w:before="45" w:beforeAutospacing="0" w:after="45" w:afterAutospacing="0" w:line="580" w:lineRule="atLeast"/>
        <w:ind w:left="45" w:right="45" w:firstLine="0"/>
        <w:jc w:val="left"/>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      三、收到和处理政府信息公开申请情况</w:t>
      </w:r>
    </w:p>
    <w:tbl>
      <w:tblPr>
        <w:tblW w:w="8576" w:type="dxa"/>
        <w:jc w:val="center"/>
        <w:shd w:val="clear"/>
        <w:tblLayout w:type="autofit"/>
        <w:tblCellMar>
          <w:top w:w="0" w:type="dxa"/>
          <w:left w:w="0" w:type="dxa"/>
          <w:bottom w:w="0" w:type="dxa"/>
          <w:right w:w="0" w:type="dxa"/>
        </w:tblCellMar>
      </w:tblPr>
      <w:tblGrid>
        <w:gridCol w:w="530"/>
        <w:gridCol w:w="923"/>
        <w:gridCol w:w="2079"/>
        <w:gridCol w:w="608"/>
        <w:gridCol w:w="713"/>
        <w:gridCol w:w="713"/>
        <w:gridCol w:w="766"/>
        <w:gridCol w:w="908"/>
        <w:gridCol w:w="676"/>
        <w:gridCol w:w="660"/>
      </w:tblGrid>
      <w:tr>
        <w:tblPrEx>
          <w:shd w:val="clear"/>
          <w:tblCellMar>
            <w:top w:w="0" w:type="dxa"/>
            <w:left w:w="0" w:type="dxa"/>
            <w:bottom w:w="0" w:type="dxa"/>
            <w:right w:w="0" w:type="dxa"/>
          </w:tblCellMar>
        </w:tblPrEx>
        <w:trPr>
          <w:jc w:val="center"/>
        </w:trPr>
        <w:tc>
          <w:tcPr>
            <w:tcW w:w="3443" w:type="dxa"/>
            <w:gridSpan w:val="3"/>
            <w:vMerge w:val="restart"/>
            <w:tcBorders>
              <w:top w:val="single" w:color="auto" w:sz="8" w:space="0"/>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（本列数据的勾稽关系为：第一项加第二项之和，等于第三项加第四项之和）</w:t>
            </w:r>
          </w:p>
        </w:tc>
        <w:tc>
          <w:tcPr>
            <w:tcW w:w="5133" w:type="dxa"/>
            <w:gridSpan w:val="7"/>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申请人情况</w:t>
            </w:r>
          </w:p>
        </w:tc>
      </w:tr>
      <w:tr>
        <w:tblPrEx>
          <w:shd w:val="clear"/>
          <w:tblCellMar>
            <w:top w:w="0" w:type="dxa"/>
            <w:left w:w="0" w:type="dxa"/>
            <w:bottom w:w="0" w:type="dxa"/>
            <w:right w:w="0" w:type="dxa"/>
          </w:tblCellMar>
        </w:tblPrEx>
        <w:trPr>
          <w:jc w:val="center"/>
        </w:trPr>
        <w:tc>
          <w:tcPr>
            <w:tcW w:w="3443" w:type="dxa"/>
            <w:gridSpan w:val="3"/>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617" w:type="dxa"/>
            <w:vMerge w:val="restart"/>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自然人</w:t>
            </w:r>
          </w:p>
        </w:tc>
        <w:tc>
          <w:tcPr>
            <w:tcW w:w="3846" w:type="dxa"/>
            <w:gridSpan w:val="5"/>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法人或其他组织</w:t>
            </w:r>
          </w:p>
        </w:tc>
        <w:tc>
          <w:tcPr>
            <w:tcW w:w="670" w:type="dxa"/>
            <w:vMerge w:val="restart"/>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总计</w:t>
            </w:r>
          </w:p>
        </w:tc>
      </w:tr>
      <w:tr>
        <w:tblPrEx>
          <w:shd w:val="clear"/>
          <w:tblCellMar>
            <w:top w:w="0" w:type="dxa"/>
            <w:left w:w="0" w:type="dxa"/>
            <w:bottom w:w="0" w:type="dxa"/>
            <w:right w:w="0" w:type="dxa"/>
          </w:tblCellMar>
        </w:tblPrEx>
        <w:trPr>
          <w:jc w:val="center"/>
        </w:trPr>
        <w:tc>
          <w:tcPr>
            <w:tcW w:w="3443" w:type="dxa"/>
            <w:gridSpan w:val="3"/>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617"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商业企业</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科研机构</w:t>
            </w:r>
          </w:p>
        </w:tc>
        <w:tc>
          <w:tcPr>
            <w:tcW w:w="78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社会公益组织</w:t>
            </w:r>
          </w:p>
        </w:tc>
        <w:tc>
          <w:tcPr>
            <w:tcW w:w="92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法律服务机构</w:t>
            </w:r>
          </w:p>
        </w:tc>
        <w:tc>
          <w:tcPr>
            <w:tcW w:w="68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其他</w:t>
            </w:r>
          </w:p>
        </w:tc>
        <w:tc>
          <w:tcPr>
            <w:tcW w:w="670" w:type="dxa"/>
            <w:vMerge w:val="continue"/>
            <w:tcBorders>
              <w:top w:val="single" w:color="auto" w:sz="8" w:space="0"/>
              <w:left w:val="nil"/>
              <w:bottom w:val="single" w:color="auto" w:sz="8" w:space="0"/>
              <w:right w:val="single" w:color="auto" w:sz="8" w:space="0"/>
            </w:tcBorders>
            <w:shd w:val="clear"/>
            <w:vAlign w:val="center"/>
          </w:tcPr>
          <w:p>
            <w:pPr>
              <w:rPr>
                <w:rFonts w:hint="eastAsia" w:ascii="宋体"/>
                <w:sz w:val="18"/>
                <w:szCs w:val="18"/>
              </w:rPr>
            </w:pPr>
          </w:p>
        </w:tc>
      </w:tr>
      <w:tr>
        <w:tblPrEx>
          <w:shd w:val="clear"/>
          <w:tblCellMar>
            <w:top w:w="0" w:type="dxa"/>
            <w:left w:w="0" w:type="dxa"/>
            <w:bottom w:w="0" w:type="dxa"/>
            <w:right w:w="0" w:type="dxa"/>
          </w:tblCellMar>
        </w:tblPrEx>
        <w:trPr>
          <w:jc w:val="center"/>
        </w:trPr>
        <w:tc>
          <w:tcPr>
            <w:tcW w:w="3443" w:type="dxa"/>
            <w:gridSpan w:val="3"/>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一、本年新收政府信息公开申请数量</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443" w:type="dxa"/>
            <w:gridSpan w:val="3"/>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二、上年结转政府信息公开申请数量</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restart"/>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三、本年度办理结果</w:t>
            </w:r>
          </w:p>
        </w:tc>
        <w:tc>
          <w:tcPr>
            <w:tcW w:w="3058" w:type="dxa"/>
            <w:gridSpan w:val="2"/>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（一）予以公开</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3058" w:type="dxa"/>
            <w:gridSpan w:val="2"/>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（二）部分公开（区分处理的，只计这一情形，不计其他情形）</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restart"/>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（三）不予公开</w:t>
            </w: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1.属于国家秘密</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2.其他法律行政法规禁止公开</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3.危及“三安全一稳定”</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4.保护第三方合法权益</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5.属于三类内部事务信息</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6.属于四类过程性信息</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left"/>
            </w:pPr>
            <w:r>
              <w:rPr>
                <w:rFonts w:hint="eastAsia" w:ascii="宋体" w:hAnsi="宋体" w:eastAsia="宋体" w:cs="宋体"/>
                <w:sz w:val="21"/>
                <w:szCs w:val="21"/>
              </w:rPr>
              <w:t>7.属于行政执法案卷</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44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restart"/>
            <w:tcBorders>
              <w:top w:val="single" w:color="auto" w:sz="8" w:space="0"/>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ind w:left="45" w:right="45"/>
            </w:pPr>
            <w:r>
              <w:rPr>
                <w:sz w:val="18"/>
                <w:szCs w:val="18"/>
              </w:rPr>
              <w:t> </w:t>
            </w:r>
          </w:p>
        </w:tc>
        <w:tc>
          <w:tcPr>
            <w:tcW w:w="929"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pPr>
            <w:r>
              <w:rPr>
                <w:sz w:val="18"/>
                <w:szCs w:val="18"/>
              </w:rPr>
              <w:t> </w:t>
            </w:r>
          </w:p>
        </w:tc>
        <w:tc>
          <w:tcPr>
            <w:tcW w:w="2129"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8.属于行政查询事项</w:t>
            </w:r>
          </w:p>
        </w:tc>
        <w:tc>
          <w:tcPr>
            <w:tcW w:w="61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8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92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8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70"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restart"/>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（四）无法提供</w:t>
            </w: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1.本机关不掌握相关政府信息</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2.没有现成信息需要另行制作</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3.补正后申请内容仍不明确</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restart"/>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（五）不予处理</w:t>
            </w: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1.信访举报投诉类申请</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2.重复申请</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3.要求提供公开出版物</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4.无正当理由大量反复申请</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929"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2129"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5.要求行政机关确认或重新出具已获取信息</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3058" w:type="dxa"/>
            <w:gridSpan w:val="2"/>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（六）其他处理</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85" w:type="dxa"/>
            <w:vMerge w:val="continue"/>
            <w:tcBorders>
              <w:top w:val="single" w:color="auto" w:sz="8" w:space="0"/>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3058" w:type="dxa"/>
            <w:gridSpan w:val="2"/>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（七）总计</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r>
        <w:tblPrEx>
          <w:shd w:val="clear"/>
          <w:tblCellMar>
            <w:top w:w="0" w:type="dxa"/>
            <w:left w:w="0" w:type="dxa"/>
            <w:bottom w:w="0" w:type="dxa"/>
            <w:right w:w="0" w:type="dxa"/>
          </w:tblCellMar>
        </w:tblPrEx>
        <w:trPr>
          <w:jc w:val="center"/>
        </w:trPr>
        <w:tc>
          <w:tcPr>
            <w:tcW w:w="3443" w:type="dxa"/>
            <w:gridSpan w:val="3"/>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left"/>
            </w:pPr>
            <w:r>
              <w:rPr>
                <w:rFonts w:hint="eastAsia" w:ascii="宋体" w:hAnsi="宋体" w:eastAsia="宋体" w:cs="宋体"/>
                <w:sz w:val="21"/>
                <w:szCs w:val="21"/>
              </w:rPr>
              <w:t>四、结转下年度继续办理</w:t>
            </w:r>
          </w:p>
        </w:tc>
        <w:tc>
          <w:tcPr>
            <w:tcW w:w="61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726"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78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 0</w:t>
            </w:r>
          </w:p>
        </w:tc>
        <w:tc>
          <w:tcPr>
            <w:tcW w:w="92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8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sz w:val="18"/>
                <w:szCs w:val="18"/>
              </w:rPr>
              <w:t>0 </w:t>
            </w:r>
          </w:p>
        </w:tc>
        <w:tc>
          <w:tcPr>
            <w:tcW w:w="670"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00" w:lineRule="atLeast"/>
              <w:ind w:left="45" w:right="45"/>
              <w:jc w:val="center"/>
            </w:pPr>
            <w:r>
              <w:rPr>
                <w:rFonts w:hint="eastAsia" w:ascii="宋体" w:hAnsi="宋体" w:eastAsia="宋体" w:cs="宋体"/>
                <w:sz w:val="21"/>
                <w:szCs w:val="21"/>
              </w:rPr>
              <w:t>0</w:t>
            </w:r>
          </w:p>
        </w:tc>
      </w:tr>
    </w:tbl>
    <w:p>
      <w:pPr>
        <w:pStyle w:val="2"/>
        <w:keepNext w:val="0"/>
        <w:keepLines w:val="0"/>
        <w:widowControl/>
        <w:suppressLineNumbers w:val="0"/>
        <w:shd w:val="clear" w:fill="FFFFFF"/>
        <w:spacing w:before="45" w:beforeAutospacing="0" w:after="45" w:afterAutospacing="0" w:line="580" w:lineRule="atLeast"/>
        <w:ind w:left="45" w:right="45" w:firstLine="640"/>
        <w:jc w:val="left"/>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四、政府信息公开行政复议、行政诉讼情况</w:t>
      </w:r>
    </w:p>
    <w:tbl>
      <w:tblPr>
        <w:tblW w:w="8505" w:type="dxa"/>
        <w:jc w:val="center"/>
        <w:shd w:val="clear"/>
        <w:tblLayout w:type="autofit"/>
        <w:tblCellMar>
          <w:top w:w="0" w:type="dxa"/>
          <w:left w:w="0" w:type="dxa"/>
          <w:bottom w:w="0" w:type="dxa"/>
          <w:right w:w="0" w:type="dxa"/>
        </w:tblCellMar>
      </w:tblPr>
      <w:tblGrid>
        <w:gridCol w:w="567"/>
        <w:gridCol w:w="567"/>
        <w:gridCol w:w="567"/>
        <w:gridCol w:w="567"/>
        <w:gridCol w:w="567"/>
        <w:gridCol w:w="567"/>
        <w:gridCol w:w="567"/>
        <w:gridCol w:w="567"/>
        <w:gridCol w:w="567"/>
        <w:gridCol w:w="567"/>
        <w:gridCol w:w="567"/>
        <w:gridCol w:w="567"/>
        <w:gridCol w:w="567"/>
        <w:gridCol w:w="567"/>
        <w:gridCol w:w="567"/>
      </w:tblGrid>
      <w:tr>
        <w:tblPrEx>
          <w:shd w:val="clear"/>
          <w:tblCellMar>
            <w:top w:w="0" w:type="dxa"/>
            <w:left w:w="0" w:type="dxa"/>
            <w:bottom w:w="0" w:type="dxa"/>
            <w:right w:w="0" w:type="dxa"/>
          </w:tblCellMar>
        </w:tblPrEx>
        <w:trPr>
          <w:jc w:val="center"/>
        </w:trPr>
        <w:tc>
          <w:tcPr>
            <w:tcW w:w="2835" w:type="dxa"/>
            <w:gridSpan w:val="5"/>
            <w:tcBorders>
              <w:top w:val="single" w:color="auto" w:sz="8" w:space="0"/>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行政复议</w:t>
            </w:r>
          </w:p>
        </w:tc>
        <w:tc>
          <w:tcPr>
            <w:tcW w:w="5670" w:type="dxa"/>
            <w:gridSpan w:val="10"/>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行政诉讼</w:t>
            </w:r>
          </w:p>
        </w:tc>
      </w:tr>
      <w:tr>
        <w:tblPrEx>
          <w:tblCellMar>
            <w:top w:w="0" w:type="dxa"/>
            <w:left w:w="0" w:type="dxa"/>
            <w:bottom w:w="0" w:type="dxa"/>
            <w:right w:w="0" w:type="dxa"/>
          </w:tblCellMar>
        </w:tblPrEx>
        <w:trPr>
          <w:trHeight w:val="355" w:hRule="atLeast"/>
          <w:jc w:val="center"/>
        </w:trPr>
        <w:tc>
          <w:tcPr>
            <w:tcW w:w="567" w:type="dxa"/>
            <w:vMerge w:val="restart"/>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结果维持</w:t>
            </w:r>
          </w:p>
        </w:tc>
        <w:tc>
          <w:tcPr>
            <w:tcW w:w="567" w:type="dxa"/>
            <w:vMerge w:val="restart"/>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结果纠正</w:t>
            </w:r>
          </w:p>
        </w:tc>
        <w:tc>
          <w:tcPr>
            <w:tcW w:w="567" w:type="dxa"/>
            <w:vMerge w:val="restart"/>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其他结果</w:t>
            </w:r>
          </w:p>
        </w:tc>
        <w:tc>
          <w:tcPr>
            <w:tcW w:w="567" w:type="dxa"/>
            <w:vMerge w:val="restart"/>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尚未审结</w:t>
            </w:r>
          </w:p>
        </w:tc>
        <w:tc>
          <w:tcPr>
            <w:tcW w:w="567" w:type="dxa"/>
            <w:vMerge w:val="restart"/>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总计</w:t>
            </w:r>
          </w:p>
        </w:tc>
        <w:tc>
          <w:tcPr>
            <w:tcW w:w="2835" w:type="dxa"/>
            <w:gridSpan w:val="5"/>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未经复议直接起诉</w:t>
            </w:r>
          </w:p>
        </w:tc>
        <w:tc>
          <w:tcPr>
            <w:tcW w:w="2835" w:type="dxa"/>
            <w:gridSpan w:val="5"/>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复议后起诉</w:t>
            </w:r>
          </w:p>
        </w:tc>
      </w:tr>
      <w:tr>
        <w:tblPrEx>
          <w:shd w:val="clear"/>
          <w:tblCellMar>
            <w:top w:w="0" w:type="dxa"/>
            <w:left w:w="0" w:type="dxa"/>
            <w:bottom w:w="0" w:type="dxa"/>
            <w:right w:w="0" w:type="dxa"/>
          </w:tblCellMar>
        </w:tblPrEx>
        <w:trPr>
          <w:jc w:val="center"/>
        </w:trPr>
        <w:tc>
          <w:tcPr>
            <w:tcW w:w="567" w:type="dxa"/>
            <w:vMerge w:val="continue"/>
            <w:tcBorders>
              <w:top w:val="nil"/>
              <w:left w:val="single" w:color="auto" w:sz="8" w:space="0"/>
              <w:bottom w:val="single" w:color="auto" w:sz="8" w:space="0"/>
              <w:right w:val="single" w:color="auto" w:sz="8" w:space="0"/>
            </w:tcBorders>
            <w:shd w:val="clear"/>
            <w:vAlign w:val="center"/>
          </w:tcPr>
          <w:p>
            <w:pPr>
              <w:rPr>
                <w:rFonts w:hint="eastAsia" w:ascii="宋体"/>
                <w:sz w:val="18"/>
                <w:szCs w:val="18"/>
              </w:rPr>
            </w:pPr>
          </w:p>
        </w:tc>
        <w:tc>
          <w:tcPr>
            <w:tcW w:w="567" w:type="dxa"/>
            <w:vMerge w:val="continue"/>
            <w:tcBorders>
              <w:top w:val="nil"/>
              <w:left w:val="nil"/>
              <w:bottom w:val="single" w:color="auto" w:sz="8" w:space="0"/>
              <w:right w:val="single" w:color="auto" w:sz="8" w:space="0"/>
            </w:tcBorders>
            <w:shd w:val="clear"/>
            <w:vAlign w:val="center"/>
          </w:tcPr>
          <w:p>
            <w:pPr>
              <w:rPr>
                <w:rFonts w:hint="eastAsia" w:ascii="宋体"/>
                <w:sz w:val="18"/>
                <w:szCs w:val="18"/>
              </w:rPr>
            </w:pPr>
          </w:p>
        </w:tc>
        <w:tc>
          <w:tcPr>
            <w:tcW w:w="567" w:type="dxa"/>
            <w:vMerge w:val="continue"/>
            <w:tcBorders>
              <w:top w:val="single" w:color="auto" w:sz="8" w:space="0"/>
              <w:left w:val="nil"/>
              <w:bottom w:val="single" w:color="auto" w:sz="8" w:space="0"/>
              <w:right w:val="single" w:color="auto" w:sz="8" w:space="0"/>
            </w:tcBorders>
            <w:shd w:val="clear"/>
            <w:vAlign w:val="center"/>
          </w:tcPr>
          <w:p>
            <w:pPr>
              <w:rPr>
                <w:rFonts w:hint="eastAsia" w:ascii="宋体"/>
                <w:sz w:val="18"/>
                <w:szCs w:val="18"/>
              </w:rPr>
            </w:pPr>
          </w:p>
        </w:tc>
        <w:tc>
          <w:tcPr>
            <w:tcW w:w="567" w:type="dxa"/>
            <w:vMerge w:val="continue"/>
            <w:tcBorders>
              <w:top w:val="single" w:color="auto" w:sz="8" w:space="0"/>
              <w:left w:val="nil"/>
              <w:bottom w:val="single" w:color="auto" w:sz="8" w:space="0"/>
              <w:right w:val="single" w:color="auto" w:sz="8" w:space="0"/>
            </w:tcBorders>
            <w:shd w:val="clear"/>
            <w:vAlign w:val="center"/>
          </w:tcPr>
          <w:p>
            <w:pPr>
              <w:rPr>
                <w:rFonts w:hint="eastAsia" w:ascii="宋体"/>
                <w:sz w:val="18"/>
                <w:szCs w:val="18"/>
              </w:rPr>
            </w:pPr>
          </w:p>
        </w:tc>
        <w:tc>
          <w:tcPr>
            <w:tcW w:w="567" w:type="dxa"/>
            <w:vMerge w:val="continue"/>
            <w:tcBorders>
              <w:top w:val="single" w:color="auto" w:sz="8" w:space="0"/>
              <w:left w:val="nil"/>
              <w:bottom w:val="single" w:color="auto" w:sz="8" w:space="0"/>
              <w:right w:val="single" w:color="auto" w:sz="8" w:space="0"/>
            </w:tcBorders>
            <w:shd w:val="clear"/>
            <w:vAlign w:val="center"/>
          </w:tcPr>
          <w:p>
            <w:pPr>
              <w:rPr>
                <w:rFonts w:hint="eastAsia" w:ascii="宋体"/>
                <w:sz w:val="18"/>
                <w:szCs w:val="18"/>
              </w:rPr>
            </w:pP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结果维持</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结果纠正</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其他结果</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尚未审结</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color w:val="000000"/>
                <w:sz w:val="21"/>
                <w:szCs w:val="21"/>
              </w:rPr>
              <w:t>总计</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结果维持</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结果纠正</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color w:val="000000"/>
                <w:sz w:val="21"/>
                <w:szCs w:val="21"/>
              </w:rPr>
              <w:t>其他结果</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尚未审结</w:t>
            </w:r>
          </w:p>
        </w:tc>
        <w:tc>
          <w:tcPr>
            <w:tcW w:w="567" w:type="dxa"/>
            <w:tcBorders>
              <w:top w:val="single" w:color="auto" w:sz="8" w:space="0"/>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color w:val="000000"/>
                <w:sz w:val="21"/>
                <w:szCs w:val="21"/>
              </w:rPr>
              <w:t>总计</w:t>
            </w:r>
          </w:p>
        </w:tc>
      </w:tr>
      <w:tr>
        <w:tblPrEx>
          <w:tblCellMar>
            <w:top w:w="0" w:type="dxa"/>
            <w:left w:w="0" w:type="dxa"/>
            <w:bottom w:w="0" w:type="dxa"/>
            <w:right w:w="0" w:type="dxa"/>
          </w:tblCellMar>
        </w:tblPrEx>
        <w:trPr>
          <w:jc w:val="center"/>
        </w:trPr>
        <w:tc>
          <w:tcPr>
            <w:tcW w:w="567" w:type="dxa"/>
            <w:tcBorders>
              <w:top w:val="nil"/>
              <w:left w:val="single" w:color="auto" w:sz="8" w:space="0"/>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0 </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0 </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0 </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0 </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 0</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sz w:val="18"/>
                <w:szCs w:val="18"/>
              </w:rPr>
              <w:t>0 </w:t>
            </w:r>
          </w:p>
        </w:tc>
        <w:tc>
          <w:tcPr>
            <w:tcW w:w="567" w:type="dxa"/>
            <w:tcBorders>
              <w:top w:val="nil"/>
              <w:left w:val="nil"/>
              <w:bottom w:val="single" w:color="auto" w:sz="8" w:space="0"/>
              <w:right w:val="single" w:color="auto" w:sz="8" w:space="0"/>
            </w:tcBorders>
            <w:shd w:val="clear"/>
            <w:vAlign w:val="center"/>
          </w:tcPr>
          <w:p>
            <w:pPr>
              <w:pStyle w:val="2"/>
              <w:keepNext w:val="0"/>
              <w:keepLines w:val="0"/>
              <w:widowControl/>
              <w:suppressLineNumbers w:val="0"/>
              <w:spacing w:before="45" w:beforeAutospacing="0" w:after="45" w:afterAutospacing="0" w:line="580" w:lineRule="atLeast"/>
              <w:ind w:left="45" w:right="45"/>
              <w:jc w:val="center"/>
            </w:pPr>
            <w:r>
              <w:rPr>
                <w:rFonts w:hint="eastAsia" w:ascii="宋体" w:hAnsi="宋体" w:eastAsia="宋体" w:cs="宋体"/>
                <w:sz w:val="21"/>
                <w:szCs w:val="21"/>
              </w:rPr>
              <w:t>0</w:t>
            </w:r>
          </w:p>
        </w:tc>
      </w:tr>
    </w:tbl>
    <w:p>
      <w:pPr>
        <w:pStyle w:val="2"/>
        <w:keepNext w:val="0"/>
        <w:keepLines w:val="0"/>
        <w:widowControl/>
        <w:suppressLineNumbers w:val="0"/>
        <w:shd w:val="clear" w:fill="FFFFFF"/>
        <w:spacing w:before="45" w:beforeAutospacing="0" w:after="45" w:afterAutospacing="0" w:line="540" w:lineRule="atLeast"/>
        <w:ind w:left="45" w:right="45" w:firstLine="640"/>
        <w:jc w:val="both"/>
        <w:rPr>
          <w:rFonts w:hint="eastAsia" w:ascii="仿宋" w:hAnsi="仿宋" w:eastAsia="仿宋" w:cs="仿宋"/>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五、存在的主要问题及改进情况</w:t>
      </w:r>
    </w:p>
    <w:p>
      <w:pPr>
        <w:pStyle w:val="2"/>
        <w:keepNext w:val="0"/>
        <w:keepLines w:val="0"/>
        <w:widowControl/>
        <w:suppressLineNumbers w:val="0"/>
        <w:shd w:val="clear" w:fill="FFFFFF"/>
        <w:spacing w:before="45" w:beforeAutospacing="0" w:after="45" w:afterAutospacing="0" w:line="540" w:lineRule="atLeast"/>
        <w:ind w:left="45" w:right="45" w:firstLine="64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在政府信息公开工作中，我局虽然取得了一定成绩，但与县政府的要求相比还存在一些不足和问题，其主要表现在：信息公开的质量还需加强、公开形式便民性仍需进一步提高、互动的氛围还不够浓厚。在今后工作中，我局将抓好以下几项工作落实，以强化提升我局政务信息公开工作。</w:t>
      </w:r>
      <w:r>
        <w:rPr>
          <w:rFonts w:hint="eastAsia" w:ascii="仿宋" w:hAnsi="仿宋" w:eastAsia="仿宋" w:cs="仿宋"/>
          <w:b/>
          <w:i w:val="0"/>
          <w:caps w:val="0"/>
          <w:color w:val="000000"/>
          <w:spacing w:val="0"/>
          <w:sz w:val="32"/>
          <w:szCs w:val="32"/>
          <w:shd w:val="clear" w:fill="FFFFFF"/>
        </w:rPr>
        <w:t>一是深化政府信息公开内容。</w:t>
      </w:r>
      <w:r>
        <w:rPr>
          <w:rFonts w:hint="eastAsia" w:ascii="仿宋" w:hAnsi="仿宋" w:eastAsia="仿宋" w:cs="仿宋"/>
          <w:i w:val="0"/>
          <w:caps w:val="0"/>
          <w:color w:val="000000"/>
          <w:spacing w:val="0"/>
          <w:sz w:val="32"/>
          <w:szCs w:val="32"/>
          <w:shd w:val="clear" w:fill="FFFFFF"/>
        </w:rPr>
        <w:t>全面梳理我局政府信息公开涉及内容，继续完善政府信息公开目录，重点推进交通运输与市民生活密切相关的政府信息公开，着重加强对专业性强、公众关注度高的重大决定等信息的解读工作。</w:t>
      </w:r>
      <w:r>
        <w:rPr>
          <w:rFonts w:hint="eastAsia" w:ascii="仿宋" w:hAnsi="仿宋" w:eastAsia="仿宋" w:cs="仿宋"/>
          <w:b/>
          <w:i w:val="0"/>
          <w:caps w:val="0"/>
          <w:color w:val="000000"/>
          <w:spacing w:val="0"/>
          <w:sz w:val="32"/>
          <w:szCs w:val="32"/>
          <w:shd w:val="clear" w:fill="FFFFFF"/>
        </w:rPr>
        <w:t>二是强化政府信息公开基础工作。</w:t>
      </w:r>
      <w:r>
        <w:rPr>
          <w:rFonts w:hint="eastAsia" w:ascii="仿宋" w:hAnsi="仿宋" w:eastAsia="仿宋" w:cs="仿宋"/>
          <w:i w:val="0"/>
          <w:caps w:val="0"/>
          <w:color w:val="000000"/>
          <w:spacing w:val="0"/>
          <w:sz w:val="32"/>
          <w:szCs w:val="32"/>
          <w:shd w:val="clear" w:fill="FFFFFF"/>
        </w:rPr>
        <w:t>加强新闻宣传，提高公众对政府信息公开的知晓率和参与度；积极参加上级政府和主管部门组织的政府信息公开业务学习和培训，不断提升我局政府信息公开整体工作水平。</w:t>
      </w:r>
      <w:r>
        <w:rPr>
          <w:rFonts w:hint="eastAsia" w:ascii="仿宋" w:hAnsi="仿宋" w:eastAsia="仿宋" w:cs="仿宋"/>
          <w:b/>
          <w:i w:val="0"/>
          <w:caps w:val="0"/>
          <w:color w:val="000000"/>
          <w:spacing w:val="0"/>
          <w:sz w:val="32"/>
          <w:szCs w:val="32"/>
          <w:shd w:val="clear" w:fill="FFFFFF"/>
        </w:rPr>
        <w:t>三是进一步加大监督检查力度。</w:t>
      </w:r>
      <w:r>
        <w:rPr>
          <w:rFonts w:hint="eastAsia" w:ascii="仿宋" w:hAnsi="仿宋" w:eastAsia="仿宋" w:cs="仿宋"/>
          <w:i w:val="0"/>
          <w:caps w:val="0"/>
          <w:color w:val="000000"/>
          <w:spacing w:val="0"/>
          <w:sz w:val="32"/>
          <w:szCs w:val="32"/>
          <w:shd w:val="clear" w:fill="FFFFFF"/>
        </w:rPr>
        <w:t>我局将采取定期或不定期检查形式对各单位政务公开报送情况进行督查，督促全局政务公开工作落实。</w:t>
      </w:r>
    </w:p>
    <w:p>
      <w:pPr>
        <w:pStyle w:val="2"/>
        <w:keepNext w:val="0"/>
        <w:keepLines w:val="0"/>
        <w:widowControl/>
        <w:suppressLineNumbers w:val="0"/>
        <w:shd w:val="clear" w:fill="FFFFFF"/>
        <w:spacing w:before="45" w:beforeAutospacing="0" w:after="45" w:afterAutospacing="0" w:line="540" w:lineRule="atLeast"/>
        <w:ind w:left="45" w:right="45" w:firstLine="640"/>
        <w:jc w:val="both"/>
        <w:rPr>
          <w:rFonts w:hint="eastAsia" w:ascii="黑体" w:hAnsi="黑体" w:eastAsia="黑体" w:cs="黑体"/>
          <w:i w:val="0"/>
          <w:caps w:val="0"/>
          <w:color w:val="000000"/>
          <w:spacing w:val="0"/>
          <w:sz w:val="32"/>
          <w:szCs w:val="32"/>
        </w:rPr>
      </w:pPr>
      <w:r>
        <w:rPr>
          <w:rFonts w:hint="eastAsia" w:ascii="黑体" w:hAnsi="黑体" w:eastAsia="黑体" w:cs="黑体"/>
          <w:i w:val="0"/>
          <w:caps w:val="0"/>
          <w:color w:val="000000"/>
          <w:spacing w:val="0"/>
          <w:sz w:val="32"/>
          <w:szCs w:val="32"/>
          <w:shd w:val="clear" w:fill="FFFFFF"/>
        </w:rPr>
        <w:t>六、其他需要报告的事项</w:t>
      </w:r>
    </w:p>
    <w:p>
      <w:pPr>
        <w:pStyle w:val="2"/>
        <w:keepNext w:val="0"/>
        <w:keepLines w:val="0"/>
        <w:widowControl/>
        <w:suppressLineNumbers w:val="0"/>
        <w:shd w:val="clear" w:fill="FFFFFF"/>
        <w:spacing w:before="45" w:beforeAutospacing="0" w:after="45" w:afterAutospacing="0" w:line="540" w:lineRule="atLeast"/>
        <w:ind w:left="45" w:right="45" w:firstLine="640"/>
        <w:jc w:val="both"/>
        <w:textAlignment w:val="top"/>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shd w:val="clear" w:fill="FFFFFF"/>
        </w:rPr>
        <w:t>我局对2019年政府信息公开情况无需要说明的其他事项。</w:t>
      </w: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A044C"/>
    <w:rsid w:val="0BFA044C"/>
    <w:rsid w:val="4D447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2020-01-15T06:30:00Z</dcterms:created>
  <dc:creator>张亚飞</dc:creator>
  <cp:lastModifiedBy>张亚飞</cp:lastModifiedBy>
  <dcterms:modified xsi:type="dcterms:W3CDTF">2020-01-15T06:38:28Z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