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before="0" w:beforeAutospacing="1" w:after="0" w:afterAutospacing="1" w:line="357" w:lineRule="atLeast"/>
        <w:ind w:left="0" w:right="0" w:firstLine="0"/>
        <w:jc w:val="center"/>
        <w:rPr>
          <w:rFonts w:ascii="Verdana" w:hAnsi="Verdana" w:eastAsia="Verdana" w:cs="Verdana"/>
          <w:i w:val="0"/>
          <w:caps w:val="0"/>
          <w:color w:val="000000"/>
          <w:spacing w:val="0"/>
          <w:sz w:val="21"/>
          <w:szCs w:val="21"/>
        </w:rPr>
      </w:pPr>
      <w:r>
        <w:rPr>
          <w:rFonts w:hint="default" w:ascii="Verdana" w:hAnsi="Verdana" w:eastAsia="Verdana" w:cs="Verdana"/>
          <w:i w:val="0"/>
          <w:caps w:val="0"/>
          <w:color w:val="000000"/>
          <w:spacing w:val="0"/>
          <w:kern w:val="0"/>
          <w:sz w:val="21"/>
          <w:szCs w:val="21"/>
          <w:shd w:val="clear" w:fill="FFFFFF"/>
          <w:lang w:val="en-US" w:eastAsia="zh-CN" w:bidi="ar"/>
        </w:rPr>
        <w:t>水利局政府信息公开工作年度报告</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24"/>
          <w:szCs w:val="24"/>
          <w:shd w:val="clear" w:fill="FFFFFF"/>
          <w:lang w:val="en-US" w:eastAsia="zh-CN" w:bidi="ar"/>
        </w:rPr>
        <w:t> </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b/>
          <w:i w:val="0"/>
          <w:caps w:val="0"/>
          <w:color w:val="000000"/>
          <w:spacing w:val="0"/>
          <w:kern w:val="0"/>
          <w:sz w:val="32"/>
          <w:szCs w:val="32"/>
          <w:shd w:val="clear" w:fill="FFFFFF"/>
          <w:lang w:val="en-US" w:eastAsia="zh-CN" w:bidi="ar"/>
        </w:rPr>
        <w:t>一、总体情况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caps w:val="0"/>
          <w:color w:val="000000"/>
          <w:spacing w:val="0"/>
          <w:sz w:val="21"/>
          <w:szCs w:val="21"/>
        </w:rPr>
      </w:pPr>
      <w:r>
        <w:rPr>
          <w:rFonts w:ascii="仿宋_GB2312" w:hAnsi="Verdana" w:eastAsia="仿宋_GB2312" w:cs="仿宋_GB2312"/>
          <w:i w:val="0"/>
          <w:caps w:val="0"/>
          <w:color w:val="000000"/>
          <w:spacing w:val="0"/>
          <w:kern w:val="0"/>
          <w:sz w:val="32"/>
          <w:szCs w:val="32"/>
          <w:shd w:val="clear" w:fill="FFFFFF"/>
          <w:lang w:val="en-US" w:eastAsia="zh-CN" w:bidi="ar"/>
        </w:rPr>
        <w:t>2019年，</w:t>
      </w:r>
      <w:r>
        <w:rPr>
          <w:rFonts w:hint="default" w:ascii="仿宋_GB2312" w:hAnsi="Verdana" w:eastAsia="仿宋_GB2312" w:cs="仿宋_GB2312"/>
          <w:i w:val="0"/>
          <w:caps w:val="0"/>
          <w:color w:val="000000"/>
          <w:spacing w:val="0"/>
          <w:kern w:val="0"/>
          <w:sz w:val="32"/>
          <w:szCs w:val="32"/>
          <w:shd w:val="clear" w:fill="FFFFFF"/>
          <w:lang w:val="en-US" w:eastAsia="zh-CN" w:bidi="ar"/>
        </w:rPr>
        <w:t>县水利局认真贯彻落实省、市、县关于政府信息公开的工作部署，充分利用政府门户网站、、水利服务窗口宣传栏、新媒体等多种渠道，采取多种形式，及时主动向社会公布水利行业法规、政策、行业动态、重大民生实事工程、财政预决算、资金、人事等方面信息，着力提高水利信息公开工作的质量和水平，取得了较好成效。同时，认真做好回应解读，关注热点难点，及时回复各种咨询。</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32"/>
          <w:szCs w:val="32"/>
          <w:shd w:val="clear" w:fill="FFFFFF"/>
          <w:lang w:val="en-US" w:eastAsia="zh-CN" w:bidi="ar"/>
        </w:rPr>
        <w:t> </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b/>
          <w:i w:val="0"/>
          <w:caps w:val="0"/>
          <w:color w:val="000000"/>
          <w:spacing w:val="0"/>
          <w:kern w:val="0"/>
          <w:sz w:val="32"/>
          <w:szCs w:val="32"/>
          <w:shd w:val="clear" w:fill="FFFFFF"/>
          <w:lang w:val="en-US" w:eastAsia="zh-CN" w:bidi="ar"/>
        </w:rPr>
        <w:t>二、主动公开政府信息情况</w:t>
      </w:r>
    </w:p>
    <w:tbl>
      <w:tblPr>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3113"/>
        <w:gridCol w:w="1881"/>
        <w:gridCol w:w="1271"/>
        <w:gridCol w:w="188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495" w:hRule="atLeast"/>
          <w:jc w:val="center"/>
        </w:trPr>
        <w:tc>
          <w:tcPr>
            <w:tcW w:w="8140" w:type="dxa"/>
            <w:gridSpan w:val="4"/>
            <w:tcBorders>
              <w:top w:val="single" w:color="000000" w:sz="8" w:space="0"/>
              <w:left w:val="single" w:color="000000" w:sz="8" w:space="0"/>
              <w:bottom w:val="single" w:color="000000" w:sz="8" w:space="0"/>
              <w:right w:val="single" w:color="000000" w:sz="8" w:space="0"/>
            </w:tcBorders>
            <w:shd w:val="clear" w:color="auto" w:fill="C6D9F1"/>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第二十条第（一）项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6"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信息内容</w:t>
            </w:r>
          </w:p>
        </w:tc>
        <w:tc>
          <w:tcPr>
            <w:tcW w:w="187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本年新</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制作数量</w:t>
            </w:r>
          </w:p>
        </w:tc>
        <w:tc>
          <w:tcPr>
            <w:tcW w:w="1271"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本年新</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公开数量</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对外公开总数量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3"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规章</w:t>
            </w:r>
          </w:p>
        </w:tc>
        <w:tc>
          <w:tcPr>
            <w:tcW w:w="187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27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71"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规范性文件</w:t>
            </w:r>
          </w:p>
        </w:tc>
        <w:tc>
          <w:tcPr>
            <w:tcW w:w="187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37</w:t>
            </w:r>
          </w:p>
        </w:tc>
        <w:tc>
          <w:tcPr>
            <w:tcW w:w="127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78" w:hRule="atLeast"/>
          <w:jc w:val="center"/>
        </w:trPr>
        <w:tc>
          <w:tcPr>
            <w:tcW w:w="8140" w:type="dxa"/>
            <w:gridSpan w:val="4"/>
            <w:tcBorders>
              <w:top w:val="nil"/>
              <w:left w:val="single" w:color="000000" w:sz="8" w:space="0"/>
              <w:bottom w:val="single" w:color="000000" w:sz="8" w:space="0"/>
              <w:right w:val="single" w:color="000000" w:sz="8" w:space="0"/>
            </w:tcBorders>
            <w:shd w:val="clear" w:color="auto" w:fill="C6D9F1"/>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第二十条第（五）项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4"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信息内容</w:t>
            </w:r>
          </w:p>
        </w:tc>
        <w:tc>
          <w:tcPr>
            <w:tcW w:w="187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上一年项目数量</w:t>
            </w:r>
          </w:p>
        </w:tc>
        <w:tc>
          <w:tcPr>
            <w:tcW w:w="1271"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本年增/减</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处理决定数量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8"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行政许可</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2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0"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其他对外管理服务事项</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2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63" w:hRule="atLeast"/>
          <w:jc w:val="center"/>
        </w:trPr>
        <w:tc>
          <w:tcPr>
            <w:tcW w:w="8140" w:type="dxa"/>
            <w:gridSpan w:val="4"/>
            <w:tcBorders>
              <w:top w:val="nil"/>
              <w:left w:val="single" w:color="000000" w:sz="8" w:space="0"/>
              <w:bottom w:val="single" w:color="000000" w:sz="8" w:space="0"/>
              <w:right w:val="single" w:color="000000" w:sz="8" w:space="0"/>
            </w:tcBorders>
            <w:shd w:val="clear" w:color="auto" w:fill="C6D9F1"/>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第二十条第（六）项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39"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信息内容</w:t>
            </w:r>
          </w:p>
        </w:tc>
        <w:tc>
          <w:tcPr>
            <w:tcW w:w="187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上一年项目数量</w:t>
            </w:r>
          </w:p>
        </w:tc>
        <w:tc>
          <w:tcPr>
            <w:tcW w:w="1271"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本年增/减</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处理决定数量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30"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行政处罚</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2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09"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行政强制</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2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78" w:hRule="atLeast"/>
          <w:jc w:val="center"/>
        </w:trPr>
        <w:tc>
          <w:tcPr>
            <w:tcW w:w="8140" w:type="dxa"/>
            <w:gridSpan w:val="4"/>
            <w:tcBorders>
              <w:top w:val="nil"/>
              <w:left w:val="single" w:color="000000" w:sz="8" w:space="0"/>
              <w:bottom w:val="single" w:color="000000" w:sz="8" w:space="0"/>
              <w:right w:val="single" w:color="000000" w:sz="8" w:space="0"/>
            </w:tcBorders>
            <w:shd w:val="clear" w:color="auto" w:fill="C6D9F1"/>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第二十条第（八）项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93"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信息内容</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上一年项目数量</w:t>
            </w:r>
          </w:p>
        </w:tc>
        <w:tc>
          <w:tcPr>
            <w:tcW w:w="3146" w:type="dxa"/>
            <w:gridSpan w:val="2"/>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本年增/减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1"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行政事业性收费</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3146" w:type="dxa"/>
            <w:gridSpan w:val="2"/>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63" w:hRule="atLeast"/>
          <w:jc w:val="center"/>
        </w:trPr>
        <w:tc>
          <w:tcPr>
            <w:tcW w:w="8140" w:type="dxa"/>
            <w:gridSpan w:val="4"/>
            <w:tcBorders>
              <w:top w:val="nil"/>
              <w:left w:val="single" w:color="000000" w:sz="8" w:space="0"/>
              <w:bottom w:val="single" w:color="000000" w:sz="8" w:space="0"/>
              <w:right w:val="single" w:color="000000" w:sz="8" w:space="0"/>
            </w:tcBorders>
            <w:shd w:val="clear" w:color="auto" w:fill="C6D9F1"/>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第二十条第（九）项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55"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信息内容</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采购项目数量</w:t>
            </w:r>
          </w:p>
        </w:tc>
        <w:tc>
          <w:tcPr>
            <w:tcW w:w="3146" w:type="dxa"/>
            <w:gridSpan w:val="2"/>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采购总金额</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39" w:hRule="atLeast"/>
          <w:jc w:val="center"/>
        </w:trPr>
        <w:tc>
          <w:tcPr>
            <w:tcW w:w="3113"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政府集中采购</w:t>
            </w:r>
          </w:p>
        </w:tc>
        <w:tc>
          <w:tcPr>
            <w:tcW w:w="188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　</w:t>
            </w:r>
          </w:p>
        </w:tc>
        <w:tc>
          <w:tcPr>
            <w:tcW w:w="3146" w:type="dxa"/>
            <w:gridSpan w:val="2"/>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3105" w:type="dxa"/>
            <w:tcBorders>
              <w:top w:val="nil"/>
              <w:left w:val="nil"/>
              <w:bottom w:val="nil"/>
              <w:right w:val="nil"/>
            </w:tcBorders>
            <w:shd w:val="clear"/>
            <w:vAlign w:val="center"/>
          </w:tcPr>
          <w:p>
            <w:pPr>
              <w:rPr>
                <w:rFonts w:hint="default" w:ascii="Verdana" w:hAnsi="Verdana" w:eastAsia="Verdana" w:cs="Verdana"/>
                <w:sz w:val="18"/>
                <w:szCs w:val="18"/>
              </w:rPr>
            </w:pPr>
          </w:p>
        </w:tc>
        <w:tc>
          <w:tcPr>
            <w:tcW w:w="1875" w:type="dxa"/>
            <w:tcBorders>
              <w:top w:val="nil"/>
              <w:left w:val="nil"/>
              <w:bottom w:val="nil"/>
              <w:right w:val="nil"/>
            </w:tcBorders>
            <w:shd w:val="clear"/>
            <w:vAlign w:val="center"/>
          </w:tcPr>
          <w:p>
            <w:pPr>
              <w:rPr>
                <w:rFonts w:hint="default" w:ascii="Verdana" w:hAnsi="Verdana" w:eastAsia="Verdana" w:cs="Verdana"/>
                <w:sz w:val="18"/>
                <w:szCs w:val="18"/>
              </w:rPr>
            </w:pPr>
          </w:p>
        </w:tc>
        <w:tc>
          <w:tcPr>
            <w:tcW w:w="1260" w:type="dxa"/>
            <w:tcBorders>
              <w:top w:val="nil"/>
              <w:left w:val="nil"/>
              <w:bottom w:val="nil"/>
              <w:right w:val="nil"/>
            </w:tcBorders>
            <w:shd w:val="clear"/>
            <w:vAlign w:val="center"/>
          </w:tcPr>
          <w:p>
            <w:pPr>
              <w:rPr>
                <w:rFonts w:hint="default" w:ascii="Verdana" w:hAnsi="Verdana" w:eastAsia="Verdana" w:cs="Verdana"/>
                <w:sz w:val="18"/>
                <w:szCs w:val="18"/>
              </w:rPr>
            </w:pPr>
          </w:p>
        </w:tc>
        <w:tc>
          <w:tcPr>
            <w:tcW w:w="1875" w:type="dxa"/>
            <w:tcBorders>
              <w:top w:val="nil"/>
              <w:left w:val="nil"/>
              <w:bottom w:val="nil"/>
              <w:right w:val="nil"/>
            </w:tcBorders>
            <w:shd w:val="clear"/>
            <w:vAlign w:val="center"/>
          </w:tcPr>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357"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24"/>
          <w:szCs w:val="24"/>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b/>
          <w:i w:val="0"/>
          <w:caps w:val="0"/>
          <w:color w:val="000000"/>
          <w:spacing w:val="0"/>
          <w:kern w:val="0"/>
          <w:sz w:val="32"/>
          <w:szCs w:val="32"/>
          <w:shd w:val="clear" w:fill="FFFFFF"/>
          <w:lang w:val="en-US" w:eastAsia="zh-CN" w:bidi="ar"/>
        </w:rPr>
        <w:t>三、收到和处理政府信息公开申请情况</w:t>
      </w:r>
    </w:p>
    <w:tbl>
      <w:tblPr>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616"/>
        <w:gridCol w:w="848"/>
        <w:gridCol w:w="1888"/>
        <w:gridCol w:w="760"/>
        <w:gridCol w:w="709"/>
        <w:gridCol w:w="709"/>
        <w:gridCol w:w="760"/>
        <w:gridCol w:w="898"/>
        <w:gridCol w:w="671"/>
        <w:gridCol w:w="66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313" w:hRule="atLeast"/>
          <w:jc w:val="center"/>
        </w:trPr>
        <w:tc>
          <w:tcPr>
            <w:tcW w:w="3479" w:type="dxa"/>
            <w:gridSpan w:val="3"/>
            <w:vMerge w:val="restart"/>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（本列数据的勾稽关系为：第一项加第二项之和，等于第三项加第四项之和）</w:t>
            </w:r>
          </w:p>
        </w:tc>
        <w:tc>
          <w:tcPr>
            <w:tcW w:w="5592" w:type="dxa"/>
            <w:gridSpan w:val="7"/>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申请人情况</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13" w:hRule="atLeast"/>
          <w:jc w:val="center"/>
        </w:trPr>
        <w:tc>
          <w:tcPr>
            <w:tcW w:w="3479" w:type="dxa"/>
            <w:gridSpan w:val="3"/>
            <w:vMerge w:val="continue"/>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25" w:type="dxa"/>
            <w:vMerge w:val="restart"/>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自然人</w:t>
            </w:r>
          </w:p>
        </w:tc>
        <w:tc>
          <w:tcPr>
            <w:tcW w:w="4065" w:type="dxa"/>
            <w:gridSpan w:val="5"/>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法人或其他组织</w:t>
            </w:r>
          </w:p>
        </w:tc>
        <w:tc>
          <w:tcPr>
            <w:tcW w:w="702" w:type="dxa"/>
            <w:vMerge w:val="restart"/>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6" w:hRule="atLeast"/>
          <w:jc w:val="center"/>
        </w:trPr>
        <w:tc>
          <w:tcPr>
            <w:tcW w:w="3479" w:type="dxa"/>
            <w:gridSpan w:val="3"/>
            <w:vMerge w:val="continue"/>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2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商业企业</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科研机构</w:t>
            </w:r>
          </w:p>
        </w:tc>
        <w:tc>
          <w:tcPr>
            <w:tcW w:w="82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社会公益组织</w:t>
            </w:r>
          </w:p>
        </w:tc>
        <w:tc>
          <w:tcPr>
            <w:tcW w:w="990"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法律服务机构</w:t>
            </w:r>
          </w:p>
        </w:tc>
        <w:tc>
          <w:tcPr>
            <w:tcW w:w="720"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其他</w:t>
            </w:r>
          </w:p>
        </w:tc>
        <w:tc>
          <w:tcPr>
            <w:tcW w:w="702" w:type="dxa"/>
            <w:vMerge w:val="continue"/>
            <w:tcBorders>
              <w:top w:val="single" w:color="000000" w:sz="8" w:space="0"/>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93" w:hRule="atLeast"/>
          <w:jc w:val="center"/>
        </w:trPr>
        <w:tc>
          <w:tcPr>
            <w:tcW w:w="3479" w:type="dxa"/>
            <w:gridSpan w:val="3"/>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一、本年新收政府信息公开申请数量</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93" w:hRule="atLeast"/>
          <w:jc w:val="center"/>
        </w:trPr>
        <w:tc>
          <w:tcPr>
            <w:tcW w:w="3479" w:type="dxa"/>
            <w:gridSpan w:val="3"/>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二、上年结转政府信息公开申请数量</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restart"/>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三、本年度办理结果</w:t>
            </w:r>
          </w:p>
        </w:tc>
        <w:tc>
          <w:tcPr>
            <w:tcW w:w="2985" w:type="dxa"/>
            <w:gridSpan w:val="2"/>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（一）予以公开</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985" w:type="dxa"/>
            <w:gridSpan w:val="2"/>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（二）部分公开（区分处理的，只计这一情形，不计其他情形）</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restart"/>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（三）不予公开</w:t>
            </w: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ascii="楷体" w:hAnsi="楷体" w:eastAsia="楷体" w:cs="楷体"/>
                <w:kern w:val="0"/>
                <w:sz w:val="20"/>
                <w:szCs w:val="20"/>
                <w:lang w:val="en-US" w:eastAsia="zh-CN" w:bidi="ar"/>
              </w:rPr>
              <w:t>1.属于国家秘密</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2.其他法律行政法规禁止公开</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3.危及“三安全一稳定”</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4.保护第三方合法权益</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5.属于三类内部事务信息</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6.属于四类过程性信息</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7.属于行政执法案卷</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8.属于行政查询事项</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restart"/>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（四）无法提供</w:t>
            </w: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1.本机关不掌握相关政府信息</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2.没有现成信息需要另行制作</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3.补正后申请内容仍不明确</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restart"/>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（五）不予处理</w:t>
            </w: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1.信访举报投诉类申请</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2.重复申请</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3.要求提供公开出版物</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4.无正当理由大量反复申请</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85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13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楷体" w:hAnsi="楷体" w:eastAsia="楷体" w:cs="楷体"/>
                <w:kern w:val="0"/>
                <w:sz w:val="20"/>
                <w:szCs w:val="20"/>
                <w:lang w:val="en-US" w:eastAsia="zh-CN" w:bidi="ar"/>
              </w:rPr>
              <w:t>5.要求行政机关确认或重新出具已获取信息</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985" w:type="dxa"/>
            <w:gridSpan w:val="2"/>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（六）其他处理</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2985" w:type="dxa"/>
            <w:gridSpan w:val="2"/>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（七）总计</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3479" w:type="dxa"/>
            <w:gridSpan w:val="3"/>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left"/>
            </w:pPr>
            <w:r>
              <w:rPr>
                <w:rFonts w:hint="eastAsia" w:ascii="宋体" w:hAnsi="宋体" w:eastAsia="宋体" w:cs="宋体"/>
                <w:kern w:val="0"/>
                <w:sz w:val="20"/>
                <w:szCs w:val="20"/>
                <w:lang w:val="en-US" w:eastAsia="zh-CN" w:bidi="ar"/>
              </w:rPr>
              <w:t>四、结转下年度继续办理</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6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82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99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2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702"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480" w:type="dxa"/>
            <w:tcBorders>
              <w:top w:val="nil"/>
              <w:left w:val="nil"/>
              <w:bottom w:val="nil"/>
              <w:right w:val="nil"/>
            </w:tcBorders>
            <w:shd w:val="clear"/>
            <w:vAlign w:val="center"/>
          </w:tcPr>
          <w:p>
            <w:pPr>
              <w:rPr>
                <w:rFonts w:hint="default" w:ascii="Verdana" w:hAnsi="Verdana" w:eastAsia="Verdana" w:cs="Verdana"/>
                <w:sz w:val="18"/>
                <w:szCs w:val="18"/>
              </w:rPr>
            </w:pPr>
          </w:p>
        </w:tc>
        <w:tc>
          <w:tcPr>
            <w:tcW w:w="855" w:type="dxa"/>
            <w:tcBorders>
              <w:top w:val="nil"/>
              <w:left w:val="nil"/>
              <w:bottom w:val="nil"/>
              <w:right w:val="nil"/>
            </w:tcBorders>
            <w:shd w:val="clear"/>
            <w:vAlign w:val="center"/>
          </w:tcPr>
          <w:p>
            <w:pPr>
              <w:rPr>
                <w:rFonts w:hint="default" w:ascii="Verdana" w:hAnsi="Verdana" w:eastAsia="Verdana" w:cs="Verdana"/>
                <w:sz w:val="18"/>
                <w:szCs w:val="18"/>
              </w:rPr>
            </w:pPr>
          </w:p>
        </w:tc>
        <w:tc>
          <w:tcPr>
            <w:tcW w:w="2130" w:type="dxa"/>
            <w:tcBorders>
              <w:top w:val="nil"/>
              <w:left w:val="nil"/>
              <w:bottom w:val="nil"/>
              <w:right w:val="nil"/>
            </w:tcBorders>
            <w:shd w:val="clear"/>
            <w:vAlign w:val="center"/>
          </w:tcPr>
          <w:p>
            <w:pPr>
              <w:rPr>
                <w:rFonts w:hint="default" w:ascii="Verdana" w:hAnsi="Verdana" w:eastAsia="Verdana" w:cs="Verdana"/>
                <w:sz w:val="18"/>
                <w:szCs w:val="18"/>
              </w:rPr>
            </w:pPr>
          </w:p>
        </w:tc>
        <w:tc>
          <w:tcPr>
            <w:tcW w:w="825" w:type="dxa"/>
            <w:tcBorders>
              <w:top w:val="nil"/>
              <w:left w:val="nil"/>
              <w:bottom w:val="nil"/>
              <w:right w:val="nil"/>
            </w:tcBorders>
            <w:shd w:val="clear"/>
            <w:vAlign w:val="center"/>
          </w:tcPr>
          <w:p>
            <w:pPr>
              <w:rPr>
                <w:rFonts w:hint="default" w:ascii="Verdana" w:hAnsi="Verdana" w:eastAsia="Verdana" w:cs="Verdana"/>
                <w:sz w:val="18"/>
                <w:szCs w:val="18"/>
              </w:rPr>
            </w:pPr>
          </w:p>
        </w:tc>
        <w:tc>
          <w:tcPr>
            <w:tcW w:w="765" w:type="dxa"/>
            <w:tcBorders>
              <w:top w:val="nil"/>
              <w:left w:val="nil"/>
              <w:bottom w:val="nil"/>
              <w:right w:val="nil"/>
            </w:tcBorders>
            <w:shd w:val="clear"/>
            <w:vAlign w:val="center"/>
          </w:tcPr>
          <w:p>
            <w:pPr>
              <w:rPr>
                <w:rFonts w:hint="default" w:ascii="Verdana" w:hAnsi="Verdana" w:eastAsia="Verdana" w:cs="Verdana"/>
                <w:sz w:val="18"/>
                <w:szCs w:val="18"/>
              </w:rPr>
            </w:pPr>
          </w:p>
        </w:tc>
        <w:tc>
          <w:tcPr>
            <w:tcW w:w="765" w:type="dxa"/>
            <w:tcBorders>
              <w:top w:val="nil"/>
              <w:left w:val="nil"/>
              <w:bottom w:val="nil"/>
              <w:right w:val="nil"/>
            </w:tcBorders>
            <w:shd w:val="clear"/>
            <w:vAlign w:val="center"/>
          </w:tcPr>
          <w:p>
            <w:pPr>
              <w:rPr>
                <w:rFonts w:hint="default" w:ascii="Verdana" w:hAnsi="Verdana" w:eastAsia="Verdana" w:cs="Verdana"/>
                <w:sz w:val="18"/>
                <w:szCs w:val="18"/>
              </w:rPr>
            </w:pPr>
          </w:p>
        </w:tc>
        <w:tc>
          <w:tcPr>
            <w:tcW w:w="825" w:type="dxa"/>
            <w:tcBorders>
              <w:top w:val="nil"/>
              <w:left w:val="nil"/>
              <w:bottom w:val="nil"/>
              <w:right w:val="nil"/>
            </w:tcBorders>
            <w:shd w:val="clear"/>
            <w:vAlign w:val="center"/>
          </w:tcPr>
          <w:p>
            <w:pPr>
              <w:rPr>
                <w:rFonts w:hint="default" w:ascii="Verdana" w:hAnsi="Verdana" w:eastAsia="Verdana" w:cs="Verdana"/>
                <w:sz w:val="18"/>
                <w:szCs w:val="18"/>
              </w:rPr>
            </w:pPr>
          </w:p>
        </w:tc>
        <w:tc>
          <w:tcPr>
            <w:tcW w:w="990" w:type="dxa"/>
            <w:tcBorders>
              <w:top w:val="nil"/>
              <w:left w:val="nil"/>
              <w:bottom w:val="nil"/>
              <w:right w:val="nil"/>
            </w:tcBorders>
            <w:shd w:val="clear"/>
            <w:vAlign w:val="center"/>
          </w:tcPr>
          <w:p>
            <w:pPr>
              <w:rPr>
                <w:rFonts w:hint="default" w:ascii="Verdana" w:hAnsi="Verdana" w:eastAsia="Verdana" w:cs="Verdana"/>
                <w:sz w:val="18"/>
                <w:szCs w:val="18"/>
              </w:rPr>
            </w:pPr>
          </w:p>
        </w:tc>
        <w:tc>
          <w:tcPr>
            <w:tcW w:w="72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90" w:type="dxa"/>
            <w:tcBorders>
              <w:top w:val="nil"/>
              <w:left w:val="nil"/>
              <w:bottom w:val="nil"/>
              <w:right w:val="nil"/>
            </w:tcBorders>
            <w:shd w:val="clear"/>
            <w:vAlign w:val="center"/>
          </w:tcPr>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24"/>
          <w:szCs w:val="24"/>
          <w:shd w:val="clear" w:fill="FFFFFF"/>
          <w:lang w:val="en-US" w:eastAsia="zh-CN" w:bidi="ar"/>
        </w:rPr>
        <w:t> </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b/>
          <w:i w:val="0"/>
          <w:caps w:val="0"/>
          <w:color w:val="000000"/>
          <w:spacing w:val="0"/>
          <w:kern w:val="0"/>
          <w:sz w:val="32"/>
          <w:szCs w:val="32"/>
          <w:shd w:val="clear" w:fill="FFFFFF"/>
          <w:lang w:val="en-US" w:eastAsia="zh-CN" w:bidi="ar"/>
        </w:rPr>
        <w:t>四、政府信息公开行政复议、行政诉讼情况</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24"/>
          <w:szCs w:val="24"/>
          <w:shd w:val="clear" w:fill="FFFFFF"/>
          <w:lang w:val="en-US" w:eastAsia="zh-CN" w:bidi="ar"/>
        </w:rPr>
        <w:t> </w:t>
      </w:r>
    </w:p>
    <w:tbl>
      <w:tblPr>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566"/>
        <w:gridCol w:w="567"/>
        <w:gridCol w:w="567"/>
        <w:gridCol w:w="567"/>
        <w:gridCol w:w="610"/>
        <w:gridCol w:w="524"/>
        <w:gridCol w:w="568"/>
        <w:gridCol w:w="568"/>
        <w:gridCol w:w="568"/>
        <w:gridCol w:w="568"/>
        <w:gridCol w:w="568"/>
        <w:gridCol w:w="568"/>
        <w:gridCol w:w="568"/>
        <w:gridCol w:w="569"/>
        <w:gridCol w:w="57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3074" w:type="dxa"/>
            <w:gridSpan w:val="5"/>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行政复议</w:t>
            </w:r>
          </w:p>
        </w:tc>
        <w:tc>
          <w:tcPr>
            <w:tcW w:w="5997" w:type="dxa"/>
            <w:gridSpan w:val="10"/>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行政诉讼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04" w:type="dxa"/>
            <w:vMerge w:val="restart"/>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结果维持</w:t>
            </w:r>
          </w:p>
        </w:tc>
        <w:tc>
          <w:tcPr>
            <w:tcW w:w="604" w:type="dxa"/>
            <w:vMerge w:val="restart"/>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结果纠正</w:t>
            </w:r>
          </w:p>
        </w:tc>
        <w:tc>
          <w:tcPr>
            <w:tcW w:w="604" w:type="dxa"/>
            <w:vMerge w:val="restart"/>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其他结果</w:t>
            </w:r>
          </w:p>
        </w:tc>
        <w:tc>
          <w:tcPr>
            <w:tcW w:w="604" w:type="dxa"/>
            <w:vMerge w:val="restart"/>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尚未审结</w:t>
            </w:r>
          </w:p>
        </w:tc>
        <w:tc>
          <w:tcPr>
            <w:tcW w:w="658" w:type="dxa"/>
            <w:vMerge w:val="restart"/>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总计</w:t>
            </w:r>
          </w:p>
        </w:tc>
        <w:tc>
          <w:tcPr>
            <w:tcW w:w="2970" w:type="dxa"/>
            <w:gridSpan w:val="5"/>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未经复议直接起诉</w:t>
            </w:r>
          </w:p>
        </w:tc>
        <w:tc>
          <w:tcPr>
            <w:tcW w:w="3027" w:type="dxa"/>
            <w:gridSpan w:val="5"/>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复议后起诉</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0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604"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604" w:type="dxa"/>
            <w:vMerge w:val="continue"/>
            <w:tcBorders>
              <w:top w:val="single" w:color="000000" w:sz="8" w:space="0"/>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604" w:type="dxa"/>
            <w:vMerge w:val="continue"/>
            <w:tcBorders>
              <w:top w:val="single" w:color="000000" w:sz="8" w:space="0"/>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658" w:type="dxa"/>
            <w:vMerge w:val="continue"/>
            <w:tcBorders>
              <w:top w:val="single" w:color="000000" w:sz="8" w:space="0"/>
              <w:left w:val="nil"/>
              <w:bottom w:val="single" w:color="000000" w:sz="8" w:space="0"/>
              <w:right w:val="single" w:color="000000" w:sz="8" w:space="0"/>
            </w:tcBorders>
            <w:shd w:val="clear"/>
            <w:tcMar>
              <w:left w:w="108" w:type="dxa"/>
              <w:right w:w="108" w:type="dxa"/>
            </w:tcMar>
            <w:vAlign w:val="center"/>
          </w:tcPr>
          <w:p>
            <w:pPr>
              <w:rPr>
                <w:rFonts w:hint="default" w:ascii="Verdana" w:hAnsi="Verdana" w:eastAsia="Verdana" w:cs="Verdana"/>
                <w:sz w:val="18"/>
                <w:szCs w:val="18"/>
              </w:rPr>
            </w:pPr>
          </w:p>
        </w:tc>
        <w:tc>
          <w:tcPr>
            <w:tcW w:w="55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结果维持</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结果纠正</w:t>
            </w:r>
          </w:p>
        </w:tc>
        <w:tc>
          <w:tcPr>
            <w:tcW w:w="60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其他结果</w:t>
            </w:r>
          </w:p>
        </w:tc>
        <w:tc>
          <w:tcPr>
            <w:tcW w:w="60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尚未审结</w:t>
            </w:r>
          </w:p>
        </w:tc>
        <w:tc>
          <w:tcPr>
            <w:tcW w:w="60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总计</w:t>
            </w:r>
          </w:p>
        </w:tc>
        <w:tc>
          <w:tcPr>
            <w:tcW w:w="60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结果维持</w:t>
            </w:r>
          </w:p>
        </w:tc>
        <w:tc>
          <w:tcPr>
            <w:tcW w:w="60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结果纠正</w:t>
            </w:r>
          </w:p>
        </w:tc>
        <w:tc>
          <w:tcPr>
            <w:tcW w:w="60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其他结果</w:t>
            </w:r>
          </w:p>
        </w:tc>
        <w:tc>
          <w:tcPr>
            <w:tcW w:w="606"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尚未审结</w:t>
            </w:r>
          </w:p>
        </w:tc>
        <w:tc>
          <w:tcPr>
            <w:tcW w:w="606"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04"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604"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604"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604"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658"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default" w:ascii="Calibri" w:hAnsi="Calibri" w:eastAsia="Verdana" w:cs="Calibri"/>
                <w:kern w:val="0"/>
                <w:sz w:val="20"/>
                <w:szCs w:val="20"/>
                <w:lang w:val="en-US" w:eastAsia="zh-CN" w:bidi="ar"/>
              </w:rPr>
              <w:t> </w:t>
            </w:r>
          </w:p>
        </w:tc>
        <w:tc>
          <w:tcPr>
            <w:tcW w:w="55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6"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0"/>
                <w:szCs w:val="20"/>
                <w:lang w:val="en-US" w:eastAsia="zh-CN" w:bidi="ar"/>
              </w:rPr>
              <w:t> </w:t>
            </w:r>
          </w:p>
        </w:tc>
        <w:tc>
          <w:tcPr>
            <w:tcW w:w="606"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spacing w:before="0" w:beforeAutospacing="1" w:after="180" w:afterAutospacing="0" w:line="306" w:lineRule="atLeast"/>
              <w:ind w:left="0" w:right="0"/>
              <w:jc w:val="center"/>
            </w:pPr>
            <w:r>
              <w:rPr>
                <w:rFonts w:hint="eastAsia" w:ascii="宋体" w:hAnsi="宋体" w:eastAsia="宋体" w:cs="宋体"/>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45" w:type="dxa"/>
            <w:tcBorders>
              <w:top w:val="nil"/>
              <w:left w:val="nil"/>
              <w:bottom w:val="nil"/>
              <w:right w:val="nil"/>
            </w:tcBorders>
            <w:shd w:val="clear"/>
            <w:vAlign w:val="center"/>
          </w:tcPr>
          <w:p>
            <w:pPr>
              <w:rPr>
                <w:rFonts w:hint="default" w:ascii="Verdana" w:hAnsi="Verdana" w:eastAsia="Verdana" w:cs="Verdana"/>
                <w:sz w:val="18"/>
                <w:szCs w:val="18"/>
              </w:rPr>
            </w:pPr>
          </w:p>
        </w:tc>
        <w:tc>
          <w:tcPr>
            <w:tcW w:w="54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c>
          <w:tcPr>
            <w:tcW w:w="600" w:type="dxa"/>
            <w:tcBorders>
              <w:top w:val="nil"/>
              <w:left w:val="nil"/>
              <w:bottom w:val="nil"/>
              <w:right w:val="nil"/>
            </w:tcBorders>
            <w:shd w:val="clear"/>
            <w:vAlign w:val="center"/>
          </w:tcPr>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357" w:lineRule="atLeast"/>
        <w:ind w:left="0" w:right="0" w:firstLine="0"/>
        <w:jc w:val="both"/>
        <w:textAlignment w:val="center"/>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24"/>
          <w:szCs w:val="24"/>
          <w:shd w:val="clear" w:fill="FFFFFF"/>
          <w:lang w:val="en-US" w:eastAsia="zh-CN" w:bidi="ar"/>
        </w:rPr>
        <w:t> </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b/>
          <w:i w:val="0"/>
          <w:caps w:val="0"/>
          <w:color w:val="000000"/>
          <w:spacing w:val="0"/>
          <w:kern w:val="0"/>
          <w:sz w:val="32"/>
          <w:szCs w:val="32"/>
          <w:shd w:val="clear" w:fill="FFFFFF"/>
          <w:lang w:val="en-US" w:eastAsia="zh-CN" w:bidi="ar"/>
        </w:rPr>
        <w:t>五、存在的主要问题及改进情况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caps w:val="0"/>
          <w:color w:val="000000"/>
          <w:spacing w:val="0"/>
          <w:sz w:val="21"/>
          <w:szCs w:val="21"/>
        </w:rPr>
      </w:pPr>
      <w:r>
        <w:rPr>
          <w:rFonts w:hint="default" w:ascii="仿宋_GB2312" w:hAnsi="Verdana" w:eastAsia="仿宋_GB2312" w:cs="仿宋_GB2312"/>
          <w:i w:val="0"/>
          <w:caps w:val="0"/>
          <w:color w:val="000000"/>
          <w:spacing w:val="0"/>
          <w:kern w:val="0"/>
          <w:sz w:val="32"/>
          <w:szCs w:val="32"/>
          <w:shd w:val="clear" w:fill="FFFFFF"/>
          <w:lang w:val="en-US" w:eastAsia="zh-CN" w:bidi="ar"/>
        </w:rPr>
        <w:t>1、存在的问题</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caps w:val="0"/>
          <w:color w:val="000000"/>
          <w:spacing w:val="0"/>
          <w:sz w:val="21"/>
          <w:szCs w:val="21"/>
        </w:rPr>
      </w:pPr>
      <w:r>
        <w:rPr>
          <w:rFonts w:hint="default" w:ascii="仿宋_GB2312" w:hAnsi="Verdana" w:eastAsia="仿宋_GB2312" w:cs="仿宋_GB2312"/>
          <w:i w:val="0"/>
          <w:caps w:val="0"/>
          <w:color w:val="000000"/>
          <w:spacing w:val="0"/>
          <w:kern w:val="0"/>
          <w:sz w:val="32"/>
          <w:szCs w:val="32"/>
          <w:shd w:val="clear" w:fill="FFFFFF"/>
          <w:lang w:val="en-US" w:eastAsia="zh-CN" w:bidi="ar"/>
        </w:rPr>
        <w:t>目前我局信息公开工作与上级政府和社会公众的要求还存在一定的差距。信息发布的及时性、信息公开的质量、人员的专业程度均有待提高，信息公开工作的主动性还要进一步增强。</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caps w:val="0"/>
          <w:color w:val="000000"/>
          <w:spacing w:val="0"/>
          <w:sz w:val="21"/>
          <w:szCs w:val="21"/>
        </w:rPr>
      </w:pPr>
      <w:r>
        <w:rPr>
          <w:rFonts w:hint="default" w:ascii="仿宋_GB2312" w:hAnsi="Verdana" w:eastAsia="仿宋_GB2312" w:cs="仿宋_GB2312"/>
          <w:i w:val="0"/>
          <w:caps w:val="0"/>
          <w:color w:val="000000"/>
          <w:spacing w:val="0"/>
          <w:kern w:val="0"/>
          <w:sz w:val="32"/>
          <w:szCs w:val="32"/>
          <w:shd w:val="clear" w:fill="FFFFFF"/>
          <w:lang w:val="en-US" w:eastAsia="zh-CN" w:bidi="ar"/>
        </w:rPr>
        <w:t>2、解决办法和改进措施</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caps w:val="0"/>
          <w:color w:val="000000"/>
          <w:spacing w:val="0"/>
          <w:sz w:val="21"/>
          <w:szCs w:val="21"/>
        </w:rPr>
      </w:pPr>
      <w:r>
        <w:rPr>
          <w:rFonts w:hint="default" w:ascii="仿宋_GB2312" w:hAnsi="Verdana" w:eastAsia="仿宋_GB2312" w:cs="仿宋_GB2312"/>
          <w:i w:val="0"/>
          <w:caps w:val="0"/>
          <w:color w:val="000000"/>
          <w:spacing w:val="0"/>
          <w:kern w:val="0"/>
          <w:sz w:val="32"/>
          <w:szCs w:val="32"/>
          <w:shd w:val="clear" w:fill="FFFFFF"/>
          <w:lang w:val="en-US" w:eastAsia="zh-CN" w:bidi="ar"/>
        </w:rPr>
        <w:t>针对上述问题，我局将采取以下措施：一是进一步加强领导，增强工作人员的责任感，提高信息公开和政务服务工作人员的业务素质，及时、准确公布各项信息，方便群众了解全县水利工作动态。二是加大对所属单位信息公开工作的督促指导，信息公开是职责，要严格执行。三是营造信息公开良好氛围，让公众参与信息工作，支持信息公开工作。四是加强交流和培训，做好机关各股室及局直单位工作人员信息公开专题培训，安排部署好有关工作，考核工作成效，同时，认真学习其他部门、乡镇好的经验和做法，进一步提高县水利局工作水平。</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32"/>
          <w:szCs w:val="32"/>
          <w:shd w:val="clear" w:fill="FFFFFF"/>
          <w:lang w:val="en-US" w:eastAsia="zh-CN" w:bidi="ar"/>
        </w:rPr>
        <w:t> </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b/>
          <w:i w:val="0"/>
          <w:caps w:val="0"/>
          <w:color w:val="000000"/>
          <w:spacing w:val="0"/>
          <w:kern w:val="0"/>
          <w:sz w:val="32"/>
          <w:szCs w:val="32"/>
          <w:shd w:val="clear" w:fill="FFFFFF"/>
          <w:lang w:val="en-US" w:eastAsia="zh-CN" w:bidi="ar"/>
        </w:rPr>
        <w:t>六、其他需要报告的事项</w:t>
      </w:r>
    </w:p>
    <w:p>
      <w:pPr>
        <w:keepNext w:val="0"/>
        <w:keepLines w:val="0"/>
        <w:widowControl/>
        <w:suppressLineNumbers w:val="0"/>
        <w:shd w:val="clear" w:fill="FFFFFF"/>
        <w:spacing w:before="0" w:beforeAutospacing="1" w:after="0" w:afterAutospacing="1" w:line="400" w:lineRule="atLeast"/>
        <w:ind w:left="0" w:right="0" w:firstLine="420"/>
        <w:jc w:val="both"/>
        <w:rPr>
          <w:rFonts w:hint="default" w:ascii="Verdana" w:hAnsi="Verdana" w:eastAsia="Verdana" w:cs="Verdana"/>
          <w:i w:val="0"/>
          <w:caps w:val="0"/>
          <w:color w:val="000000"/>
          <w:spacing w:val="0"/>
          <w:sz w:val="21"/>
          <w:szCs w:val="21"/>
        </w:rPr>
      </w:pPr>
      <w:r>
        <w:rPr>
          <w:rFonts w:hint="eastAsia" w:ascii="宋体" w:hAnsi="宋体" w:eastAsia="宋体" w:cs="宋体"/>
          <w:i w:val="0"/>
          <w:caps w:val="0"/>
          <w:color w:val="000000"/>
          <w:spacing w:val="0"/>
          <w:kern w:val="0"/>
          <w:sz w:val="32"/>
          <w:szCs w:val="32"/>
          <w:shd w:val="clear" w:fill="FFFFFF"/>
          <w:lang w:val="en-US" w:eastAsia="zh-CN" w:bidi="ar"/>
        </w:rPr>
        <w:t>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F5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2020-01-21T01:36:12Z</dcterms:created>
  <dc:creator>Administrator</dc:creator>
  <cp:lastModifiedBy>Administrator</cp:lastModifiedBy>
  <dcterms:modified xsi:type="dcterms:W3CDTF">2020-01-21T01:36:47Z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