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1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tLeast"/>
        <w:ind w:left="0" w:right="0" w:firstLine="0" w:firstLineChars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附  件</w:t>
      </w:r>
    </w:p>
    <w:p>
      <w:pPr>
        <w:pStyle w:val="11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tLeas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沈丘县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征收集体土地地上附着物和青苗补偿标准</w:t>
      </w:r>
    </w:p>
    <w:bookmarkEnd w:id="0"/>
    <w:tbl>
      <w:tblPr>
        <w:tblStyle w:val="14"/>
        <w:tblW w:w="52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1094"/>
        <w:gridCol w:w="2215"/>
        <w:gridCol w:w="3130"/>
        <w:gridCol w:w="1304"/>
        <w:gridCol w:w="1233"/>
        <w:gridCol w:w="209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tblHeader/>
          <w:jc w:val="center"/>
        </w:trPr>
        <w:tc>
          <w:tcPr>
            <w:tcW w:w="3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大类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附着物名称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规格及特征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补偿标准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林木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乔木类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香樟、雪松、油松、火炬松、杉木、柏树等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胸径≤5厘米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1.胸径是指树木主干离地表面1.3米处的直径。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2.国家级、省级重点保护植物及珍贵树种一般采取保留补偿方式。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5厘米&lt;胸径≤10厘米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10厘米&lt;胸径≤15厘米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15厘米&lt;胸径≤20厘米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20厘米&lt;胸径≤25厘米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25厘米&lt;胸径≤30厘米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胸径&gt;30厘米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杨树、柳树、刺槐、榆树、香椿、梧桐树等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胸径≤5厘米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5厘米&lt;胸径≤10厘米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10厘米&lt;胸径≤15厘米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15厘米&lt;胸径≤20厘米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20厘米&lt;胸径≤25厘米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25厘米&lt;胸径≤30厘米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胸径&gt;30厘米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林木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灌木类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石楠、黄杨、海桐、南天竹等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冠径≤20厘米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1.冠径指植冠的直径，系苗木冠丛的最大幅度和最小幅度之间的平均直径。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2.国家级、省级重点保护植物及珍贵树种一般采取保留补偿方式。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20厘米&lt;冠径≤50厘米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50厘米&lt;冠径≤80厘米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80厘米&lt;冠径≤100厘米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100厘米&lt;冠径≤120厘米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120厘米&lt;冠径≤150厘米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冠径&gt;150厘米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荆条、白蜡条、紫槐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每墩曲条≤20根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每墩曲条&gt;20根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果树类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桃树、梨树、石榴树、李子树、樱桃树、苹果树、橘子树、杏树、枣树、柿树、山楂树、无花果、核桃树、板栗树等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产前期(1年&lt;树龄≤3年)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每亩最多补偿111株。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始产期(3年&lt;树龄≤5年)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盛果期(5年&lt;树龄≤25年)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衰老期(树龄&gt;25年)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产前期(树龄≤1年)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1.含葡萄架补偿。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2.没有葡萄架的按苗圃价格补偿。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3.每亩补偿不超过330株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始产期(1年&lt;树龄≤3年)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盛果期(3年&lt;树龄≤15年)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衰老期(树龄&gt;15年)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林木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药材类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5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板蓝根、红花、山药、地黄</w:t>
            </w:r>
            <w:r>
              <w:rPr>
                <w:rStyle w:val="36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、菊花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名贵药材可根据实际进行评估补偿。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天麻、夏枯草、黄姜、黄芩、丹参、艾草、桔梗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枸杞、连翘、金银花、杜仲、山茱萸等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树龄≤3年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3年&lt;树龄≤7年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树龄&gt;7年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花卉类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迎春、玫瑰等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株高≤1米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名贵花卉可根据实际进行评估补偿。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1米&lt;株高≤2米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2米&lt;株高≤3米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3米&lt;株高≤4米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株高&gt;4米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紫荆花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株高≤1米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1米&lt;株高≤2米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2米&lt;株高≤3米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株高&gt;3米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月季、牡丹、芍药等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株龄≤3年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株龄&gt;3年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林木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花卉类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桂花树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胸径≤2厘米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胸径是指树木主干离地表面1.3米处的直径。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2厘米&lt;胸径≤3厘米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3厘米&lt;胸径≤4厘米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4厘米&lt;胸径≤5厘米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5厘米&lt;胸径≤6厘米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胸径&gt;6厘米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梅花、樱花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地径≤2厘米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地径是指树(苗)干靠近地表面处的直径，一般是地面以上20厘米。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2厘米&lt;地径≤3厘米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3厘米&lt;地径≤4厘米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4厘米&lt;地径≤5厘米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5厘米&lt;地径≤6厘米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6厘米&lt;地径≤7厘米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地径&gt;7厘米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苗圃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苗龄≤1年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1年&lt;苗龄≤2年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苗龄&gt;2年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林木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茶园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树龄≤3年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3年&lt;树龄≤7年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树龄&gt;7年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竹子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直径≤1厘米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1厘米&lt;直径≤3厘米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直径&gt;3厘米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花椒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树龄≤3年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每亩最多补偿220株。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3年&lt;树龄≤7年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树龄&gt;7年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紫薇、木槿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冠径≤20厘米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冠径指植冠的直径，是苗木冠丛的最大幅度和最小幅度之间的平均直径。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20厘米&lt;冠径≤50厘米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50厘米&lt;冠径≤80厘米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80厘米&lt;冠径≤100厘米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100厘米&lt;冠径≤120厘米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120厘米&lt;冠径≤150厘米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冠径&gt;150厘米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居住房屋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简易房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板房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简易房一般指短期临时使用的房屋，不是长期或永久居住的房屋。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彩钢房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土木结构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土坯或夯土墙、砖瓦顶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388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砖木结构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砖木一等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砖墙，木屋架，木檩条承重，小青瓦或机制瓦屋面，内墙面及顶棚刮腻子，木门窗，内外墙批灰，层高4.0米以下，檐高2.9米以上，水电设施到位，厨房、卫生间配套，厨房、卫生间地面铺马赛克或防滑砖、墙面贴墙砖、普通卫生洁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砖木二等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120或240砖墙混合，木屋架，木檩条承重，小青瓦或机制瓦屋面，木门窗，内外墙批灰，层高3.5米以下，檐高2.9米以上，水电设施到位，有厨房或卫生间。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砖木三等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120砖墙,木屋架,木檀条承重，小青瓦或机制瓦屋面，木门窗，内外墙批灰，层高3.5米以下，檐高2.9米以上，水电设施到位，有厨房或卫生间。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居住房屋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砖混结构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砖混一等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砖墙，铁门或防盗门，铝合金窗装防盗网或防盗窗，内墙面及天棚刮腻子，地面铺瓷砖，外墙面为涂料，层高3.5米以下、2.9米以上，水电设施到位，厨房、卫生间地面铺马赛克或防滑砖、墙面贴墙砖、普通卫生洁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砖混二等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240砖墙，铁门或木门，铝合金窗，内墙面及天棚刮腻子，地面铺瓷砖，外墙面为涂料，层高3.5米以下、2.9米以上，水电设施到位，厨房、卫生间地面铺马赛克或防滑砖、墙面贴墙砖、普通卫生洁具。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砖混三等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120或240砖墙,木门窗，内外墙面批灰，层高4.0米以下，檐高2.9米以上，水电设施到位，厨房、卫生间配套，厨房、卫生间地面铺马赛克或防滑砖、墙面贴墙砖、普通卫生洁具。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居住房屋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框架结构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框架一等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混凝土框架，现浇混凝土楼板地面，铁门或防盗门，铝合金窗装防盗网或防盗窗，内墙面及天棚刮腻子，地面铺瓷砖，外墙面为干粘石、马赛克或条砖，层高3.5米以下、2.9米以上，水电设施到位，厨房、卫生间配套，厨房、卫生间地面铺马赛克或防滑砖、墙面贴墙砖、普通卫生洁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框架二等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混凝土框架，现浇混凝土楼板地面，铁门或木门，铝合金窗，内墙面及天棚刮腻子，地面铺瓷砖，外墙面为涂料，层高3.5米以下、2.9米以上，水电设施到位，厨房、卫生间配套，厨房、卫生间地面铺马赛克或防滑砖、墙面贴墙砖、普通卫生洁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框架三等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钢筋混凝土框架，现浇混凝土楼板地面，木门窗，内外墙面涂料，层高3.5米以下、2.9米以上，水电设施到位，厨房、卫生间配套，厨房、卫生间地面铺马赛克或防滑砖、墙面贴墙砖、普通卫生洁具。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非居住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生产性用房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板房结构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7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正规彩钢房(墙面、屋顶采用复合保温彩钢板)，地面干铺或水泥硬化，塑钢、铝合金门窗。</w:t>
            </w:r>
          </w:p>
        </w:tc>
        <w:tc>
          <w:tcPr>
            <w:tcW w:w="62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1.一般指用于工业、农业、养殖生产等方面的非居住型用房。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2.四面墙、地面硬化、内外墙粉刷、屋顶防水、门窗齐全、净高2.8米以上。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3.高度4米以上(檐高)每增加1米增加50元/平方米补偿。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4.大型设备、材料和货物按市场价格给予搬迁费。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砖木结构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7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石灰砂浆砌筑240砖墙，木屋架，木檩条，青瓦屋面，地面干铺或水泥硬化，一般木门窗或塑钢、铝合金门窗。</w:t>
            </w:r>
          </w:p>
        </w:tc>
        <w:tc>
          <w:tcPr>
            <w:tcW w:w="62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砖混结构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7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混合砂浆砌筑240砖墙，混凝土圈梁，预制板或现浇顶层，地面干铺或水泥硬化，一般木门窗或塑钢、铝合金门窗。</w:t>
            </w:r>
          </w:p>
        </w:tc>
        <w:tc>
          <w:tcPr>
            <w:tcW w:w="62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仓储用房</w:t>
            </w:r>
          </w:p>
        </w:tc>
        <w:tc>
          <w:tcPr>
            <w:tcW w:w="114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高≥10米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具备良好的防水、防潮、防火、防虫、通风、隔热等条件。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高&lt;10米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非居住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仓储用房</w:t>
            </w:r>
          </w:p>
        </w:tc>
        <w:tc>
          <w:tcPr>
            <w:tcW w:w="114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砖混结构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高≥10米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具备良好的防水、防潮、防火、防虫、通风、隔热等条件。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高&lt;10米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简易棚</w:t>
            </w:r>
          </w:p>
        </w:tc>
        <w:tc>
          <w:tcPr>
            <w:tcW w:w="162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简易桥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桥面宽2—5米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按照桥面面积计算。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石拱桥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桥面宽3—8米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钢筋混凝土矩形桥板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桥面宽6米以上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涵管桥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涵管直径40—100厘米,长2米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按照涵管桥下设涵管个数进行补偿。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涵管直径100—150厘米,长2米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元/个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水利设施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涵洞</w:t>
            </w:r>
          </w:p>
        </w:tc>
        <w:tc>
          <w:tcPr>
            <w:tcW w:w="114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石盖板涵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跨径≤2米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跨径&gt;2米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钢筋混凝土圆管涵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跨径≤2米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跨径&gt;2米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水利设施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渡槽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砖、水泥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88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干堰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砼结构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浆砌石或石头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水渠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横断面面积≤0.5平方米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0.5平方米&lt;横断面面积≤1平方米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横断面面积&gt;1平方米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水塔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砖混结构单独构造，高度不低于15米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元/座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</w:t>
            </w:r>
          </w:p>
        </w:tc>
        <w:tc>
          <w:tcPr>
            <w:tcW w:w="1388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养殖设施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猪舍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农村简易猪舍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1.标准化畜禽舍所在养殖场应生产区、生活区分开，具有饲料加工区和粪污处理区，场区四周建有围墙，畜禽舍可分为开放式、半开放式和密闭式。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2.不具备以上条件的畜禽舍为农村简易畜禽舍。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标准化猪舍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禽舍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农村简易禽舍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标准化禽舍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羊舍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农村简易羊舍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标准化羊舍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牛舍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农村简易牛舍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标准化牛舍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养殖设施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鱼塘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鱼塘一等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1.有防渗和护坡。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2.总价=单价×水面面积。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3.包括育苗损失费及土石方工程费。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4.此标准包含增氧、投料设备和引、排水渠设施等配套设施。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鱼塘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鱼塘二等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1.只有防渗，没有护坡。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2.总价=单价×水面面积。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3.包括育苗损失费及土石方工程费。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4.此标准包含增氧、投料设备和引、排水渠设施等配套设施。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鱼塘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鱼塘三等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1.没有防渗和护坡。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2.总价=单价×水面面积。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3.包括育苗损失费及土石方工程费。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4.此标准包含增氧、投料设备和引、排水渠设施等配套设施。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井类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砖砌井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砖砌井筒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元/眼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井深10米砖砌井筒，深度每增减1米增减相应的补偿额度。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压水井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元/眼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包含压机补偿。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井类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机井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井深≤50米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1.机井为具备完善的机电设备，利用动力机械驱动水泵提水的封闭水井。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2.无取水许可证的参照同类机井的30%—50%予以补偿，农用井除外。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3.废、枯井按照同类井30%—50%的标准补偿。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50米&lt;井深≤100米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井深&gt;100米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温室类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玻璃温室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墙体为砖结构，采光屋面为透光玻璃，配有自动卷帘设备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1.温室能透光、保温(加温)，是用来栽培植物的设施。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2.温室系统包括增温系统、灌溉系统、通风系统等，温室比大棚设备要求更高。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塑料温室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塑料薄膜顶，带墙体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砼结构温室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钢、砼骨架、PVC板、供暖设施、通风系统、灌溉设施齐全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大棚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塑料大棚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大棚是由竹木杆、水泥杆、轻型钢管等材料做骨架，覆盖塑料薄膜形成的拱圆形料棚，内部设施较少。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水泥结构大棚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钢结构大棚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窖池类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地窖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水窖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砖石砌，水泥抹面。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蓄水池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砖混结构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全混凝土结构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沼气池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砖混结构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全混凝土结构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化粪池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元/座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88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坟墓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单棺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元/座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迁移成本，双棺以上每加一棺相应增加2000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双棺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元/座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窑类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砖窑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轮窑20门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元/座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其他规格的轮窑，依据每增减1门增减相应的补偿额度。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老式窑容量30000块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元/座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其他生产能力的老式窑，按生产能力每增减1万块增减相应的补偿额度。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石灰窑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耐火窑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土窑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其他附着物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土路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88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碎石路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一般厂区道路，乡村道路。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水泥铺路面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Style w:val="37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37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砼板厚</w:t>
            </w:r>
            <w:r>
              <w:rPr>
                <w:rStyle w:val="3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20</w:t>
            </w:r>
            <w:r>
              <w:rPr>
                <w:rStyle w:val="37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厘米，石灰土基层厚</w:t>
            </w:r>
            <w:r>
              <w:rPr>
                <w:rStyle w:val="3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15</w:t>
            </w:r>
            <w:r>
              <w:rPr>
                <w:rStyle w:val="37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厘米，基本宽度</w:t>
            </w:r>
            <w:r>
              <w:rPr>
                <w:rStyle w:val="3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37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米，增加</w:t>
            </w:r>
            <w:r>
              <w:rPr>
                <w:rStyle w:val="3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37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米增</w:t>
            </w:r>
            <w:r>
              <w:rPr>
                <w:rStyle w:val="3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30</w:t>
            </w:r>
            <w:r>
              <w:rPr>
                <w:rStyle w:val="37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沥青路面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沥青面层厚3厘米，石灰土基层厚15厘米。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管道类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PVC管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10毫米&lt;直径≤40毫米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40毫米&lt;直径≤110毫米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110毫米&lt;直径≤200毫米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PPR管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15毫米&lt;直径≤25毫米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25毫米&lt;直径≤50毫米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水泥管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直径≤135毫米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直径&gt;135毫米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铸铁管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100毫米&lt;直径≤200毫米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镀锌管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15毫米&lt;直径≤20毫米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20毫米&lt;直径≤50毫米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直径&gt;50毫米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其他附着物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围墙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砖围墙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240砖墙，高2米以上。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土围墙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高2米以上。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栅栏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铁艺围墙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钢筋、不锈钢焊接。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铁护栏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木制栅栏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生活附属设施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烟囱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4米&lt;高度≤10米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元/座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388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地坪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Style w:val="3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3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地坪厚度在</w:t>
            </w:r>
            <w:r>
              <w:rPr>
                <w:rStyle w:val="3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20</w:t>
            </w:r>
            <w:r>
              <w:rPr>
                <w:rStyle w:val="3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厘米以上。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Style w:val="3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3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地坪厚度在</w:t>
            </w:r>
            <w:r>
              <w:rPr>
                <w:rStyle w:val="3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20</w:t>
            </w:r>
            <w:r>
              <w:rPr>
                <w:rStyle w:val="3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厘米以下。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砖铺地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隔热层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石棉瓦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彩钢瓦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树脂瓦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天然气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拆移费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元/户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闭路电视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元/部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二相电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三相电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其他附着物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生活附属设施</w:t>
            </w: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农村供电通讯线杆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木杆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元/根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8-10米水泥杆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元/根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11-15米水泥杆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元/根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厕所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水冲式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元/蹲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旱厕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窗机拆移费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挂机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柜机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元/台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外楼梯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参考类似住房补偿标准进行补偿；结构复杂、建造成本高的外部楼梯可根据实际进行评估补偿。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院落门</w:t>
            </w: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厚度两公分以上的木门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有装饰、正规的铁大门、合金门或钢板门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不锈钢伸缩门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元/平方米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太阳能光伏板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屋顶光伏板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元/瓦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</w:t>
            </w:r>
          </w:p>
        </w:tc>
        <w:tc>
          <w:tcPr>
            <w:tcW w:w="1388" w:type="pct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合理年限25年，实际补偿依据使用年限折旧。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地面光伏板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元/瓦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</w:t>
            </w:r>
          </w:p>
        </w:tc>
        <w:tc>
          <w:tcPr>
            <w:tcW w:w="1388" w:type="pct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32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青苗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粮食作物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小麦、玉米、水稻、高粱、红薯、大豆、谷子等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1388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经济作物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花生、芝麻、油菜等油料作物，棉花、烟叶、糖料等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388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32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蔬菜瓜类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白菜、萝卜、生菜、芹菜、菠菜、葱、蒜、香菜、土豆、西瓜、香瓜、草莓等</w:t>
            </w:r>
          </w:p>
        </w:tc>
        <w:tc>
          <w:tcPr>
            <w:tcW w:w="1145" w:type="pc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元/亩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</w:t>
            </w:r>
          </w:p>
        </w:tc>
        <w:tc>
          <w:tcPr>
            <w:tcW w:w="1388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50" w:lineRule="atLeas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6840" w:h="11907" w:orient="landscape"/>
      <w:pgMar w:top="1531" w:right="2041" w:bottom="1531" w:left="2041" w:header="851" w:footer="992" w:gutter="0"/>
      <w:pgNumType w:fmt="decimal" w:start="3"/>
      <w:cols w:space="720" w:num="1"/>
      <w:rtlGutter w:val="0"/>
      <w:docGrid w:type="linesAndChars" w:linePitch="636" w:charSpace="8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7366000</wp:posOffset>
              </wp:positionH>
              <wp:positionV relativeFrom="paragraph">
                <wp:posOffset>-168910</wp:posOffset>
              </wp:positionV>
              <wp:extent cx="1828800" cy="1828800"/>
              <wp:effectExtent l="0" t="0" r="0" b="0"/>
              <wp:wrapNone/>
              <wp:docPr id="6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580pt;margin-top:-13.3pt;height:144pt;width:144pt;mso-position-horizontal-relative:margin;mso-wrap-style:none;z-index:251660288;mso-width-relative:page;mso-height-relative:page;" filled="f" stroked="f" coordsize="21600,21600" o:gfxdata="UEsDBAoAAAAAAIdO4kAAAAAAAAAAAAAAAAAEAAAAZHJzL1BLAwQUAAAACACHTuJAyl3c0tsAAAAN&#10;AQAADwAAAGRycy9kb3ducmV2LnhtbE2PwU7DMBBE70j8g7VIXKrWThRZIcSpBFJvINEWiasbL0lK&#10;bEe2mxa+nu0JjjM7mn1Try92ZDOGOHinIFsJYOhabwbXKXjfb5YlsJi0M3r0DhV8Y4R1c3tT68r4&#10;s9vivEsdoxIXK62gT2mqOI9tj1bHlZ/Q0e3TB6sTydBxE/SZyu3IcyEkt3pw9KHXEz732H7tTlbB&#10;x8sP4rZ8Wizm4ngMYvPw1vJXpe7vMvEILOEl/YXhik/o0BDTwZ+ciWwknUlBY5KCZS4lsGukKEqy&#10;DgpymRXAm5r/X9H8AlBLAwQUAAAACACHTuJAptTgz8sBAAB6AwAADgAAAGRycy9lMm9Eb2MueG1s&#10;rVPNjtMwEL4j8Q6W7zTZSl2iqO4KWC1CQoC08ACuYzeW/Kex26Q8ALwBJy7cea4+B2On6aLdG+Li&#10;jD0z38w382V9M1pDDhKi9o7Rq0VNiXTCd9rtGP3y+e5FQ0lM3HXceCcZPcpIbzbPn62H0Mql773p&#10;JBAEcbEdAqN9SqGtqih6aXlc+CAdOpUHyxNeYVd1wAdEt6Za1vV1NXjoAnghY8TX28lJNwVfKSnS&#10;R6WiTMQwir2lckI5t/msNmve7oCHXotzG/wfurBcOyx6gbrliZM96CdQVgvw0au0EN5WXiktZOGA&#10;bK7qR2zuex5k4YLDieEypvj/YMWHwycgumP0mhLHLa7o9OP76efv069vZJXHM4TYYtR9wLg0vvYj&#10;rnl+j/iYWY8KbP4iH4J+HPTxMlw5JiJyUrNsmhpdAn3zBfGrh/QAMb2V3pJsMAq4vTJUfngf0xQ6&#10;h+Rqzt9pY8oGjSMDoq6al6uScXEhunFYJLOYus1WGrfjmdrWd0dkhhLGir2Hr5QMKAdGHeqVEvPO&#10;4bSzcmYDZmM7G9wJTGQ0UTKZb9KksH0AveuL5nK/MbzaJ+y5UMltTLXP3eGCyzDOYswK+vteoh5+&#10;mc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yl3c0tsAAAANAQAADwAAAAAAAAABACAAAAAiAAAA&#10;ZHJzL2Rvd25yZXYueG1sUEsBAhQAFAAAAAgAh07iQKbU4M/LAQAAegMAAA4AAAAAAAAAAQAgAAAA&#10;KgEAAGRycy9lMm9Eb2MueG1sUEsFBgAAAAAGAAYAWQEAAGc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84455</wp:posOffset>
              </wp:positionH>
              <wp:positionV relativeFrom="paragraph">
                <wp:posOffset>-179070</wp:posOffset>
              </wp:positionV>
              <wp:extent cx="1828800" cy="1828800"/>
              <wp:effectExtent l="0" t="0" r="0" b="0"/>
              <wp:wrapNone/>
              <wp:docPr id="7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left:6.65pt;margin-top:-14.1pt;height:144pt;width:144pt;mso-position-horizontal-relative:margin;mso-wrap-style:none;z-index:251661312;mso-width-relative:page;mso-height-relative:page;" filled="f" stroked="f" coordsize="21600,21600" o:gfxdata="UEsDBAoAAAAAAIdO4kAAAAAAAAAAAAAAAAAEAAAAZHJzL1BLAwQUAAAACACHTuJA/gb2FNkAAAAK&#10;AQAADwAAAGRycy9kb3ducmV2LnhtbE2PwU7DMAyG70i8Q2QkLtOWtAXUlaaTQNoNJDaQds0ar+1o&#10;nKrJusHTY05w/O1Pvz+Xq4vrxYRj6DxpSBYKBFLtbUeNho/39TwHEaIha3pPqOELA6yq66vSFNaf&#10;aYPTNjaCSygURkMb41BIGeoWnQkLPyDx7uBHZyLHsZF2NGcud71MlXqQznTEF1oz4HOL9ef25DTs&#10;Xr4RN/nTbDbdHY+jWi/favmq9e1Noh5BRLzEPxh+9VkdKnba+xPZIHrOWcakhnmapyAYyFTCk72G&#10;9H6Zg6xK+f+F6gdQSwMEFAAAAAgAh07iQIUA2XTMAQAAegMAAA4AAABkcnMvZTJvRG9jLnhtbK1T&#10;wY7TMBC9I/EPlu802Uq7G0V1V8BqERICpIUPcB27sWR7LNttUj4A/oATF+58V79jx07TRextxcUZ&#10;e2bezJt5Wd2M1pC9DFGDY/RiUVMinYBOuy2jX7/cvWooiYm7jhtwktGDjPRm/fLFavCtXEIPppOB&#10;IIiL7eAZ7VPybVVF0UvL4wK8dOhUECxPeA3bqgt8QHRrqmVdX1UDhM4HEDJGfL2dnHRd8JWSIn1S&#10;KspEDKPYWypnKOcmn9V6xdtt4L7X4tQGf0YXlmuHRc9Qtzxxsgv6CZTVIkAElRYCbAVKaSELB2Rz&#10;Uf/D5r7nXhYuOJzoz2OK/w9WfNx/DkR3jF5T4rjFFR1//jj++nP8/Z1c5fEMPrYYde8xLo1vYMQ1&#10;z+8RHzPrUQWbv8iHoB8HfTgPV46JiJzULJumRpdA33xB/Oox3YeY3kmwJBuMBtxeGSrff4hpCp1D&#10;cjUHd9qYskHjyICol831Zck4uxDdOCySWUzdZiuNm/FEbQPdAZmhhLFiD+EbJQPKgVGHeqXEvHc4&#10;7ayc2QizsZkN7gQmMpoomcy3aVLYzge97Yvmcr/Rv94l7LlQyW1MtU/d4YLLME5izAr6+16iHn+Z&#10;9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+BvYU2QAAAAoBAAAPAAAAAAAAAAEAIAAAACIAAABk&#10;cnMvZG93bnJldi54bWxQSwECFAAUAAAACACHTuJAhQDZdMwBAAB6AwAADgAAAAAAAAABACAAAAAo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560705</wp:posOffset>
              </wp:positionH>
              <wp:positionV relativeFrom="paragraph">
                <wp:posOffset>-3309620</wp:posOffset>
              </wp:positionV>
              <wp:extent cx="1828800" cy="1828800"/>
              <wp:effectExtent l="0" t="0" r="0" b="0"/>
              <wp:wrapNone/>
              <wp:docPr id="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44.15pt;margin-top:-260.6pt;height:144pt;width:144pt;mso-position-horizontal-relative:margin;mso-wrap-style:none;z-index:251659264;mso-width-relative:page;mso-height-relative:page;" filled="f" stroked="f" coordsize="21600,21600" o:gfxdata="UEsDBAoAAAAAAIdO4kAAAAAAAAAAAAAAAAAEAAAAZHJzL1BLAwQUAAAACACHTuJAF6K8BtsAAAAM&#10;AQAADwAAAGRycy9kb3ducmV2LnhtbE2PwU7DMAyG70i8Q2QkLtOWNIVRStNJIO0G0jaQuGaNaTua&#10;pEqybvD0mBMc/fvT78/V6mwHNmGIvXcKsoUAhq7xpnetgrfX9bwAFpN2Rg/eoYIvjLCqLy8qXRp/&#10;clucdqllVOJiqRV0KY0l57Hp0Oq48CM62n34YHWiMbTcBH2icjtwKcSSW907utDpEZ86bD53R6vg&#10;/fkbcVs8zmbTzeEQxPp+0/AXpa6vMvEALOE5/cHwq0/qUJPT3h+diWxQUBQ5kQrmtzKTwIjI75YU&#10;7SmSeS6B1xX//0T9A1BLAwQUAAAACACHTuJACu08GrYBAABVAwAADgAAAGRycy9lMm9Eb2MueG1s&#10;rVNNrtMwEN4jcQfLe5q8ikIUNX0CPT2EhADpwQFcx24s+U8zbpNeAG7Aig17ztVzMHabPgQ7xMaZ&#10;8Yy/+b6Zyfp2cpYdFKAJvuM3i5oz5WXojd91/POn+2cNZ5iE74UNXnX8qJDfbp4+WY+xVcswBNsr&#10;YATisR1jx4eUYltVKAflBC5CVJ6COoATiVzYVT2IkdCdrZZ1/aIaA/QRglSIdHt3DvJNwddayfRB&#10;a1SJ2Y4Tt1ROKOc2n9VmLdodiDgYeaEh/oGFE8ZT0SvUnUiC7cH8BeWMhIBBp4UMrgpaG6mKBlJz&#10;U/+h5mEQURUt1ByM1zbh/4OV7w8fgZm+4yvOvHA0otO3r6fvP08/vrDnuT1jxJayHiLlpel1mGjM&#10;8z3SZVY9aXD5S3oYxanRx2tz1ZSYzI+aZdPUFJIUmx3Crx6fR8D0RgXHstFxoOmVporDO0zn1Dkl&#10;V/Ph3lhbJmg9Gwl11bxclRfXEKFbT0WyijPbbKVpO12kbUN/JGUjrUDHPe0oZ/atpw7nbZkNmI3t&#10;bOwjmN1Q1ilTwfhqn4hOYZkrnGEvhWl2Redlz/Jy/O6XrMe/YfM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F6K8BtsAAAAMAQAADwAAAAAAAAABACAAAAAiAAAAZHJzL2Rvd25yZXYueG1sUEsBAhQA&#10;FAAAAAgAh07iQArtPBq2AQAAVQMAAA4AAAAAAAAAAQAgAAAAKgEAAGRycy9lMm9Eb2MueG1sUEsF&#10;BgAAAAAGAAYAWQEAAFI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2"/>
  <w:drawingGridVerticalSpacing w:val="318"/>
  <w:displayHorizontalDrawingGridEvery w:val="1"/>
  <w:displayVerticalDrawingGridEvery w:val="1"/>
  <w:doNotUseMarginsForDrawingGridOrigin w:val="1"/>
  <w:drawingGridHorizontalOrigin w:val="1418"/>
  <w:drawingGridVerticalOrigin w:val="1418"/>
  <w:noPunctuationKerning w:val="1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zNDE5ZGM5N2I5MWI0M2M5NTdlOGUwZjQ0ZWEzMGUifQ=="/>
  </w:docVars>
  <w:rsids>
    <w:rsidRoot w:val="00172A27"/>
    <w:rsid w:val="07BC294F"/>
    <w:rsid w:val="08B878A5"/>
    <w:rsid w:val="0BBC3BEF"/>
    <w:rsid w:val="0D151030"/>
    <w:rsid w:val="275C4D40"/>
    <w:rsid w:val="2B8762AD"/>
    <w:rsid w:val="2FCF07C9"/>
    <w:rsid w:val="31D34E56"/>
    <w:rsid w:val="334E4FEA"/>
    <w:rsid w:val="3A154846"/>
    <w:rsid w:val="3A2D56DA"/>
    <w:rsid w:val="3A792DC9"/>
    <w:rsid w:val="3D2E370E"/>
    <w:rsid w:val="45A63C58"/>
    <w:rsid w:val="45D42CF1"/>
    <w:rsid w:val="4A7E6C1C"/>
    <w:rsid w:val="4B641E0F"/>
    <w:rsid w:val="4E372D7A"/>
    <w:rsid w:val="65DF71C1"/>
    <w:rsid w:val="712E1C43"/>
    <w:rsid w:val="7B7E47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5">
    <w:name w:val="Default Paragraph Font"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customStyle="1" w:styleId="3">
    <w:name w:val="正文文本 21"/>
    <w:basedOn w:val="1"/>
    <w:qFormat/>
    <w:uiPriority w:val="0"/>
    <w:pPr>
      <w:spacing w:line="480" w:lineRule="auto"/>
    </w:pPr>
  </w:style>
  <w:style w:type="paragraph" w:styleId="4">
    <w:name w:val="Plain Text"/>
    <w:basedOn w:val="1"/>
    <w:qFormat/>
    <w:uiPriority w:val="0"/>
    <w:rPr>
      <w:rFonts w:ascii="宋体" w:hAnsi="Courier New" w:eastAsia="宋体" w:cs="宋体"/>
      <w:sz w:val="21"/>
      <w:szCs w:val="21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17"/>
    <w:qFormat/>
    <w:uiPriority w:val="0"/>
    <w:rPr>
      <w:rFonts w:eastAsia="仿宋_GB2312"/>
      <w:kern w:val="2"/>
      <w:sz w:val="18"/>
      <w:szCs w:val="1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kern w:val="2"/>
      <w:sz w:val="18"/>
      <w:szCs w:val="18"/>
      <w:lang w:val="en-US" w:eastAsia="zh-CN" w:bidi="ar-SA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kern w:val="2"/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HTML Preformatted"/>
    <w:basedOn w:val="1"/>
    <w:link w:val="20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qFormat/>
    <w:uiPriority w:val="0"/>
    <w:pPr>
      <w:jc w:val="center"/>
      <w:outlineLvl w:val="0"/>
    </w:pPr>
    <w:rPr>
      <w:rFonts w:ascii="Arial" w:hAnsi="Arial"/>
      <w:b/>
    </w:rPr>
  </w:style>
  <w:style w:type="paragraph" w:styleId="13">
    <w:name w:val="Body Text First Indent"/>
    <w:basedOn w:val="2"/>
    <w:qFormat/>
    <w:uiPriority w:val="0"/>
    <w:pPr>
      <w:spacing w:after="120" w:afterLines="0"/>
      <w:ind w:firstLine="420" w:firstLineChars="100"/>
    </w:pPr>
    <w:rPr>
      <w:rFonts w:eastAsia="MS Gothic" w:cs="MS Gothic"/>
      <w:sz w:val="21"/>
      <w:szCs w:val="21"/>
    </w:rPr>
  </w:style>
  <w:style w:type="character" w:styleId="16">
    <w:name w:val="page number"/>
    <w:basedOn w:val="15"/>
    <w:qFormat/>
    <w:uiPriority w:val="0"/>
  </w:style>
  <w:style w:type="character" w:customStyle="1" w:styleId="17">
    <w:name w:val="批注框文本 Char Char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18">
    <w:name w:val="页脚 Char Char"/>
    <w:link w:val="7"/>
    <w:qFormat/>
    <w:uiPriority w:val="0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19">
    <w:name w:val="页眉 Char Char"/>
    <w:link w:val="8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HTML 预设格式 Char Char"/>
    <w:link w:val="10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1">
    <w:name w:val="正文缩进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2">
    <w:name w:val="style4"/>
    <w:basedOn w:val="1"/>
    <w:next w:val="23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">
    <w:name w:val="2"/>
    <w:basedOn w:val="1"/>
    <w:next w:val="1"/>
    <w:qFormat/>
    <w:uiPriority w:val="0"/>
    <w:pPr>
      <w:adjustRightInd w:val="0"/>
      <w:spacing w:line="420" w:lineRule="atLeast"/>
      <w:ind w:left="1134" w:hanging="227"/>
      <w:textAlignment w:val="baseline"/>
    </w:pPr>
    <w:rPr>
      <w:kern w:val="0"/>
      <w:szCs w:val="20"/>
    </w:rPr>
  </w:style>
  <w:style w:type="paragraph" w:customStyle="1" w:styleId="24">
    <w:name w:val="Char"/>
    <w:basedOn w:val="1"/>
    <w:qFormat/>
    <w:uiPriority w:val="0"/>
    <w:pPr>
      <w:widowControl/>
      <w:spacing w:after="160" w:afterLines="0" w:line="240" w:lineRule="exact"/>
      <w:jc w:val="left"/>
    </w:pPr>
    <w:rPr>
      <w:rFonts w:ascii="Verdana" w:hAnsi="Verdana" w:cs="Verdana"/>
      <w:kern w:val="0"/>
      <w:sz w:val="24"/>
      <w:szCs w:val="24"/>
      <w:lang w:eastAsia="en-US"/>
    </w:rPr>
  </w:style>
  <w:style w:type="paragraph" w:customStyle="1" w:styleId="25">
    <w:name w:val="正文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26">
    <w:name w:val="Char Char Char Char Char Char Char Char"/>
    <w:basedOn w:val="1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27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Char2"/>
    <w:basedOn w:val="1"/>
    <w:qFormat/>
    <w:uiPriority w:val="0"/>
    <w:pPr>
      <w:widowControl/>
      <w:jc w:val="left"/>
    </w:pPr>
    <w:rPr>
      <w:rFonts w:ascii="仿宋_GB2312" w:cs="仿宋_GB2312"/>
      <w:sz w:val="24"/>
      <w:szCs w:val="24"/>
    </w:rPr>
  </w:style>
  <w:style w:type="paragraph" w:customStyle="1" w:styleId="29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30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1">
    <w:name w:val="普通(网站) New New"/>
    <w:basedOn w:val="32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</w:rPr>
  </w:style>
  <w:style w:type="paragraph" w:customStyle="1" w:styleId="32">
    <w:name w:val="正文 New New New New New New New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24"/>
      <w:szCs w:val="24"/>
      <w:lang w:val="en-US" w:eastAsia="zh-CN" w:bidi="ar-SA"/>
    </w:rPr>
  </w:style>
  <w:style w:type="paragraph" w:customStyle="1" w:styleId="33">
    <w:name w:val="p0"/>
    <w:basedOn w:val="1"/>
    <w:qFormat/>
    <w:uiPriority w:val="0"/>
    <w:pPr>
      <w:widowControl/>
    </w:pPr>
    <w:rPr>
      <w:rFonts w:ascii="仿宋_GB2312" w:hAnsi="宋体" w:cs="仿宋_GB2312"/>
      <w:color w:val="000000"/>
      <w:kern w:val="0"/>
    </w:rPr>
  </w:style>
  <w:style w:type="paragraph" w:customStyle="1" w:styleId="34">
    <w:name w:val="样式1"/>
    <w:basedOn w:val="1"/>
    <w:qFormat/>
    <w:uiPriority w:val="0"/>
    <w:pPr>
      <w:adjustRightInd w:val="0"/>
      <w:snapToGrid w:val="0"/>
      <w:spacing w:line="600" w:lineRule="exact"/>
      <w:ind w:firstLine="643" w:firstLineChars="200"/>
      <w:outlineLvl w:val="1"/>
    </w:pPr>
    <w:rPr>
      <w:rFonts w:eastAsia="方正楷体_GBK"/>
      <w:b/>
      <w:bCs/>
      <w:sz w:val="32"/>
      <w:szCs w:val="32"/>
    </w:rPr>
  </w:style>
  <w:style w:type="character" w:customStyle="1" w:styleId="35">
    <w:name w:val="font8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6">
    <w:name w:val="font121"/>
    <w:basedOn w:val="15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7">
    <w:name w:val="font112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8">
    <w:name w:val="font101"/>
    <w:basedOn w:val="1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9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20</Pages>
  <Words>479</Words>
  <Characters>502</Characters>
  <Lines>8</Lines>
  <Paragraphs>2</Paragraphs>
  <TotalTime>8</TotalTime>
  <ScaleCrop>false</ScaleCrop>
  <LinksUpToDate>false</LinksUpToDate>
  <CharactersWithSpaces>523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2021-05-25T05:16:00Z</dcterms:created>
  <dc:creator>朱彦明</dc:creator>
  <cp:lastModifiedBy>Administrator</cp:lastModifiedBy>
  <cp:lastPrinted>2026-07-22T01:46:00Z</cp:lastPrinted>
  <dcterms:modified xsi:type="dcterms:W3CDTF">2026-08-05T01:28:56Z</dcterms:modified>
  <dc:title>中共安阳市公安消防支队委员会文件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1E82FED4FA6D4744B1166CC04E6D7420_13</vt:lpwstr>
  </property>
  <property fmtid="{D5CDD505-2E9C-101B-9397-08002B2CF9AE}" pid="4" name="KSOTemplateDocerSaveRecord">
    <vt:lpwstr>eyJoZGlkIjoiNmIyY2ZjOWFiZTNmNjkzNzJlYTA1ZGYwY2VjNGU1NDMiLCJ1c2VySWQiOiIyOTU3NzE3OTAifQ==</vt:lpwstr>
  </property>
</Properties>
</file>