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val="false"/>
        <w:ind w:left="0" w:leftChars="0" w:firstLine="0" w:firstLineChars="0"/>
        <w:jc w:val="center"/>
        <w:rPr>
          <w:rFonts w:hint="eastAsia"/>
          <w:color w:val="000000"/>
        </w:rPr>
      </w:pPr>
    </w:p>
    <w:p>
      <w:pPr>
        <w:pStyle w:val="style0"/>
        <w:bidi w:val="false"/>
        <w:ind w:left="0" w:leftChars="0" w:firstLine="0" w:firstLineChars="0"/>
        <w:jc w:val="center"/>
        <w:rPr>
          <w:rFonts w:hint="eastAsia"/>
          <w:color w:val="000000"/>
        </w:rPr>
      </w:pPr>
    </w:p>
    <w:p>
      <w:pPr>
        <w:pStyle w:val="style0"/>
        <w:bidi w:val="false"/>
        <w:ind w:left="0" w:leftChars="0" w:firstLine="0" w:firstLineChars="0"/>
        <w:jc w:val="center"/>
        <w:rPr>
          <w:rFonts w:hint="eastAsia"/>
          <w:color w:val="000000"/>
        </w:rPr>
      </w:pPr>
    </w:p>
    <w:p>
      <w:pPr>
        <w:pStyle w:val="style0"/>
        <w:bidi w:val="false"/>
        <w:ind w:left="0" w:leftChars="0" w:firstLine="0" w:firstLineChars="0"/>
        <w:jc w:val="center"/>
        <w:rPr>
          <w:rFonts w:hint="eastAsia"/>
          <w:color w:val="000000"/>
        </w:rPr>
      </w:pPr>
    </w:p>
    <w:p>
      <w:pPr>
        <w:pStyle w:val="style0"/>
        <w:bidi w:val="false"/>
        <w:ind w:left="0" w:leftChars="0" w:firstLine="0" w:firstLineChars="0"/>
        <w:jc w:val="center"/>
        <w:rPr>
          <w:rFonts w:hint="eastAsia"/>
          <w:color w:val="000000"/>
        </w:rPr>
      </w:pPr>
    </w:p>
    <w:p>
      <w:pPr>
        <w:pStyle w:val="style0"/>
        <w:bidi w:val="false"/>
        <w:ind w:left="0" w:leftChars="0" w:firstLine="0" w:firstLineChars="0"/>
        <w:jc w:val="center"/>
        <w:rPr>
          <w:rFonts w:hint="eastAsia"/>
          <w:color w:val="000000"/>
        </w:rPr>
      </w:pPr>
      <w:r>
        <w:rPr>
          <w:rFonts w:hint="eastAsia"/>
          <w:color w:val="000000"/>
        </w:rPr>
        <w:t>沈招〔2023〕26号</w:t>
      </w:r>
    </w:p>
    <w:p>
      <w:pPr>
        <w:pStyle w:val="style0"/>
        <w:bidi w:val="false"/>
        <w:ind w:left="0" w:leftChars="0" w:firstLine="0" w:firstLineChars="0"/>
        <w:jc w:val="both"/>
        <w:rPr>
          <w:rFonts w:hint="eastAsia"/>
          <w:color w:val="000000"/>
        </w:rPr>
      </w:pPr>
    </w:p>
    <w:p>
      <w:pPr>
        <w:pStyle w:val="style1"/>
        <w:bidi w:val="false"/>
        <w:rPr>
          <w:rFonts w:hint="eastAsia"/>
          <w:color w:val="000000"/>
          <w:lang w:val="en-US" w:eastAsia="zh-CN"/>
        </w:rPr>
      </w:pPr>
      <w:r>
        <w:rPr>
          <w:rFonts w:hint="eastAsia"/>
          <w:color w:val="000000"/>
          <w:lang w:val="en-US" w:eastAsia="zh-CN"/>
        </w:rPr>
        <w:t>沈丘县招商服务中心</w:t>
      </w:r>
    </w:p>
    <w:p>
      <w:pPr>
        <w:pStyle w:val="style1"/>
        <w:bidi w:val="false"/>
        <w:rPr>
          <w:rFonts w:hint="eastAsia"/>
          <w:color w:val="000000"/>
        </w:rPr>
      </w:pPr>
      <w:r>
        <w:rPr>
          <w:rFonts w:hint="eastAsia"/>
          <w:color w:val="000000"/>
        </w:rPr>
        <w:t>关于2023年度法治政府建设情况的报告</w:t>
      </w:r>
    </w:p>
    <w:p>
      <w:pPr>
        <w:pStyle w:val="style0"/>
        <w:pageBreakBefore w:val="false"/>
        <w:widowControl w:val="false"/>
        <w:kinsoku/>
        <w:wordWrap/>
        <w:overflowPunct/>
        <w:topLinePunct w:val="false"/>
        <w:autoSpaceDE/>
        <w:autoSpaceDN/>
        <w:bidi w:val="false"/>
        <w:adjustRightInd/>
        <w:snapToGrid/>
        <w:spacing w:before="120" w:after="120" w:lineRule="exact" w:line="576"/>
        <w:ind w:left="0" w:leftChars="0" w:firstLine="0" w:firstLineChars="0"/>
        <w:textAlignment w:val="auto"/>
        <w:rPr>
          <w:rFonts w:hint="eastAsia"/>
          <w:color w:val="000000"/>
        </w:rPr>
      </w:pPr>
      <w:r>
        <w:rPr>
          <w:rFonts w:hint="eastAsia"/>
          <w:color w:val="000000"/>
        </w:rPr>
        <w:t>沈丘县人民政府：</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eastAsia="仿宋" w:hint="default"/>
          <w:color w:val="000000"/>
          <w:lang w:val="en-US" w:eastAsia="zh-CN"/>
        </w:rPr>
      </w:pPr>
      <w:r>
        <w:rPr>
          <w:rFonts w:hint="eastAsia"/>
          <w:color w:val="000000"/>
        </w:rPr>
        <w:t>2023年是全面贯彻落实党的二十大精神的开局之年，是实施“十四五”规划承上启下的关键之年。一年来，招商服务中心以习近平新时代中国特色社会主义思想和党的二十大精神为指导，立足沈丘实际</w:t>
      </w:r>
      <w:r>
        <w:rPr>
          <w:rFonts w:hint="eastAsia"/>
          <w:color w:val="000000"/>
          <w:lang w:eastAsia="zh-CN"/>
        </w:rPr>
        <w:t>、</w:t>
      </w:r>
      <w:r>
        <w:rPr>
          <w:rFonts w:hint="eastAsia"/>
          <w:color w:val="000000"/>
        </w:rPr>
        <w:t>聚焦</w:t>
      </w:r>
      <w:r>
        <w:rPr>
          <w:rFonts w:hint="eastAsia"/>
          <w:color w:val="000000"/>
          <w:lang w:val="en-US" w:eastAsia="zh-CN"/>
        </w:rPr>
        <w:t>中心任务，为</w:t>
      </w:r>
      <w:r>
        <w:rPr>
          <w:rFonts w:hint="eastAsia"/>
          <w:color w:val="000000"/>
        </w:rPr>
        <w:t>奋力建设中原崛起新高地、全面建设社会主义现代化新沈丘营造良好法治环境</w:t>
      </w:r>
      <w:r>
        <w:rPr>
          <w:rFonts w:hint="eastAsia"/>
          <w:color w:val="000000"/>
          <w:lang w:eastAsia="zh-CN"/>
        </w:rPr>
        <w:t>，</w:t>
      </w:r>
      <w:r>
        <w:rPr>
          <w:rFonts w:hint="eastAsia"/>
          <w:color w:val="000000"/>
          <w:lang w:val="en-US" w:eastAsia="zh-CN"/>
        </w:rPr>
        <w:t>现将一年来的工作汇报如下：</w:t>
      </w:r>
    </w:p>
    <w:p>
      <w:pPr>
        <w:pStyle w:val="style2"/>
        <w:pageBreakBefore w:val="false"/>
        <w:widowControl w:val="false"/>
        <w:numPr>
          <w:ilvl w:val="0"/>
          <w:numId w:val="1"/>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单位负责人履行推进法治建设第一责任人职责</w:t>
      </w:r>
    </w:p>
    <w:p>
      <w:pPr>
        <w:pStyle w:val="style3"/>
        <w:pageBreakBefore w:val="false"/>
        <w:widowControl w:val="false"/>
        <w:numPr>
          <w:ilvl w:val="0"/>
          <w:numId w:val="2"/>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加强组织领导，统筹推进法治政府建设</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将法治政府建设摆在工作全局的重要位置，充分发挥领导小组作用，研究部署法治政府建设</w:t>
      </w:r>
      <w:r>
        <w:rPr>
          <w:rFonts w:hint="eastAsia"/>
          <w:color w:val="000000"/>
          <w:lang w:eastAsia="zh-CN"/>
        </w:rPr>
        <w:t>、</w:t>
      </w:r>
      <w:r>
        <w:rPr>
          <w:rFonts w:hint="eastAsia"/>
          <w:color w:val="000000"/>
          <w:lang w:val="en-US" w:eastAsia="zh-CN"/>
        </w:rPr>
        <w:t>法治学习</w:t>
      </w:r>
      <w:r>
        <w:rPr>
          <w:rFonts w:hint="eastAsia"/>
          <w:color w:val="000000"/>
        </w:rPr>
        <w:t>、法治宣传等方面工作，积极主动向县委报告法治政府建设中的重大问题。召开法治政府建设</w:t>
      </w:r>
      <w:r>
        <w:rPr>
          <w:rFonts w:hint="eastAsia"/>
          <w:color w:val="000000"/>
          <w:lang w:val="en-US" w:eastAsia="zh-CN"/>
        </w:rPr>
        <w:t>工作</w:t>
      </w:r>
      <w:r>
        <w:rPr>
          <w:rFonts w:hint="eastAsia"/>
          <w:color w:val="000000"/>
        </w:rPr>
        <w:t>会议，安排部署了20</w:t>
      </w:r>
      <w:r>
        <w:rPr>
          <w:rFonts w:hint="eastAsia"/>
          <w:color w:val="000000"/>
          <w:lang w:val="en-US" w:eastAsia="zh-CN"/>
        </w:rPr>
        <w:t>23</w:t>
      </w:r>
      <w:r>
        <w:rPr>
          <w:rFonts w:hint="eastAsia"/>
          <w:color w:val="000000"/>
        </w:rPr>
        <w:t>年法治政府建设工作任务，扎实推动法治政府建设工作。</w:t>
      </w:r>
    </w:p>
    <w:p>
      <w:pPr>
        <w:pStyle w:val="style3"/>
        <w:pageBreakBefore w:val="false"/>
        <w:widowControl w:val="false"/>
        <w:numPr>
          <w:ilvl w:val="0"/>
          <w:numId w:val="2"/>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依法依规决策，全面推进政务公开</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始终坚持民主集中制，严格执行重大决策法定程序，凡重大决策、重要规范性文件</w:t>
      </w:r>
      <w:r>
        <w:rPr>
          <w:rFonts w:hint="eastAsia"/>
          <w:color w:val="000000"/>
          <w:lang w:val="en-US" w:eastAsia="zh-CN"/>
        </w:rPr>
        <w:t>以及各项签约合同</w:t>
      </w:r>
      <w:r>
        <w:rPr>
          <w:rFonts w:hint="eastAsia"/>
          <w:color w:val="000000"/>
        </w:rPr>
        <w:t>依法依规执行评估论证、征求意见、合法性审核等程序。建立健全法律顾问、做好法律顾问换届工作，外聘法律顾问，全年共提供各类法律服务</w:t>
      </w:r>
      <w:r>
        <w:rPr>
          <w:rFonts w:hint="eastAsia"/>
          <w:color w:val="000000"/>
          <w:lang w:val="en-US" w:eastAsia="zh-CN"/>
        </w:rPr>
        <w:t>20</w:t>
      </w:r>
      <w:r>
        <w:rPr>
          <w:rFonts w:hint="eastAsia"/>
          <w:color w:val="000000"/>
        </w:rPr>
        <w:t>次，参与日常决策和重大行政决策，必要时列席政府常务会议，确保决策合法。</w:t>
      </w:r>
    </w:p>
    <w:p>
      <w:pPr>
        <w:pStyle w:val="style3"/>
        <w:pageBreakBefore w:val="false"/>
        <w:widowControl w:val="false"/>
        <w:numPr>
          <w:ilvl w:val="0"/>
          <w:numId w:val="2"/>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运用制度手段，强化对行政权力的监督</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将依法办事作为领导班子民主生活会重要内容，经常性提醒督促，推动</w:t>
      </w:r>
      <w:r>
        <w:rPr>
          <w:rFonts w:hint="eastAsia"/>
          <w:color w:val="000000"/>
          <w:lang w:val="en-US" w:eastAsia="zh-CN"/>
        </w:rPr>
        <w:t>单位</w:t>
      </w:r>
      <w:r>
        <w:rPr>
          <w:rFonts w:hint="eastAsia"/>
          <w:color w:val="000000"/>
        </w:rPr>
        <w:t>班子其他</w:t>
      </w:r>
      <w:r>
        <w:rPr>
          <w:rFonts w:hint="eastAsia"/>
          <w:color w:val="000000"/>
          <w:lang w:val="en-US" w:eastAsia="zh-CN"/>
        </w:rPr>
        <w:t>全体干部职工</w:t>
      </w:r>
      <w:r>
        <w:rPr>
          <w:rFonts w:hint="eastAsia"/>
          <w:color w:val="000000"/>
        </w:rPr>
        <w:t>依法</w:t>
      </w:r>
      <w:r>
        <w:rPr>
          <w:rFonts w:hint="eastAsia"/>
          <w:color w:val="000000"/>
          <w:lang w:val="en-US" w:eastAsia="zh-CN"/>
        </w:rPr>
        <w:t>办事</w:t>
      </w:r>
      <w:r>
        <w:rPr>
          <w:rFonts w:hint="eastAsia"/>
          <w:color w:val="000000"/>
        </w:rPr>
        <w:t>。健全完善内部层级监督，提高监督实效。</w:t>
      </w:r>
    </w:p>
    <w:p>
      <w:pPr>
        <w:pStyle w:val="style3"/>
        <w:pageBreakBefore w:val="false"/>
        <w:widowControl w:val="false"/>
        <w:numPr>
          <w:ilvl w:val="0"/>
          <w:numId w:val="2"/>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紧抓学法教育，筑牢普法教育基石</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加强对</w:t>
      </w:r>
      <w:r>
        <w:rPr>
          <w:rFonts w:hint="eastAsia"/>
          <w:color w:val="000000"/>
          <w:lang w:val="en-US" w:eastAsia="zh-CN"/>
        </w:rPr>
        <w:t>全体</w:t>
      </w:r>
      <w:r>
        <w:rPr>
          <w:rFonts w:hint="eastAsia"/>
          <w:color w:val="000000"/>
        </w:rPr>
        <w:t>工作人员的法治教育培训，全面提高工作人员法治思维和依法行政能力。大力推进“谁执法谁普法”工作责任制落实，实现普法教育常态化</w:t>
      </w:r>
      <w:r>
        <w:rPr>
          <w:rFonts w:hint="eastAsia"/>
          <w:color w:val="000000"/>
          <w:lang w:eastAsia="zh-CN"/>
        </w:rPr>
        <w:t>，</w:t>
      </w:r>
      <w:r>
        <w:rPr>
          <w:rFonts w:hint="eastAsia"/>
          <w:color w:val="000000"/>
        </w:rPr>
        <w:t>充分利用重大时间节点，深入开展普法学习宣传教育，组织好</w:t>
      </w:r>
      <w:r>
        <w:rPr>
          <w:rFonts w:hint="eastAsia"/>
          <w:color w:val="000000"/>
          <w:lang w:val="en-US" w:eastAsia="zh-CN"/>
        </w:rPr>
        <w:t>全体</w:t>
      </w:r>
      <w:r>
        <w:rPr>
          <w:rFonts w:hint="eastAsia"/>
          <w:color w:val="000000"/>
        </w:rPr>
        <w:t>干部</w:t>
      </w:r>
      <w:r>
        <w:rPr>
          <w:rFonts w:hint="eastAsia"/>
          <w:color w:val="000000"/>
          <w:lang w:val="en-US" w:eastAsia="zh-CN"/>
        </w:rPr>
        <w:t>职工</w:t>
      </w:r>
      <w:r>
        <w:rPr>
          <w:rFonts w:hint="eastAsia"/>
          <w:color w:val="000000"/>
        </w:rPr>
        <w:t>参加</w:t>
      </w:r>
      <w:r>
        <w:rPr>
          <w:rFonts w:hint="eastAsia"/>
          <w:color w:val="000000"/>
          <w:lang w:val="en-US" w:eastAsia="zh-CN"/>
        </w:rPr>
        <w:t>法律知识</w:t>
      </w:r>
      <w:r>
        <w:rPr>
          <w:rFonts w:hint="eastAsia"/>
          <w:color w:val="000000"/>
        </w:rPr>
        <w:t>测试。</w:t>
      </w:r>
    </w:p>
    <w:p>
      <w:pPr>
        <w:pStyle w:val="style2"/>
        <w:pageBreakBefore w:val="false"/>
        <w:widowControl w:val="false"/>
        <w:numPr>
          <w:ilvl w:val="0"/>
          <w:numId w:val="1"/>
        </w:numPr>
        <w:kinsoku/>
        <w:wordWrap/>
        <w:overflowPunct/>
        <w:topLinePunct w:val="false"/>
        <w:autoSpaceDE/>
        <w:autoSpaceDN/>
        <w:bidi w:val="false"/>
        <w:adjustRightInd/>
        <w:snapToGrid/>
        <w:spacing w:before="120" w:after="120" w:lineRule="exact" w:line="576"/>
        <w:ind w:left="0" w:leftChars="0" w:firstLine="640" w:firstLineChars="200"/>
        <w:textAlignment w:val="auto"/>
        <w:rPr>
          <w:rFonts w:hint="eastAsia"/>
          <w:color w:val="000000"/>
        </w:rPr>
      </w:pPr>
      <w:r>
        <w:rPr>
          <w:rFonts w:hint="eastAsia"/>
          <w:color w:val="000000"/>
        </w:rPr>
        <w:t>法治政府建设的主要举措和成效</w:t>
      </w:r>
    </w:p>
    <w:p>
      <w:pPr>
        <w:pStyle w:val="style3"/>
        <w:pageBreakBefore w:val="false"/>
        <w:widowControl w:val="false"/>
        <w:numPr>
          <w:ilvl w:val="0"/>
          <w:numId w:val="3"/>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lang w:val="en-US" w:eastAsia="zh-CN"/>
        </w:rPr>
        <w:t>注重学习，</w:t>
      </w:r>
      <w:r>
        <w:rPr>
          <w:rFonts w:hint="eastAsia"/>
          <w:color w:val="000000"/>
        </w:rPr>
        <w:t>贯彻</w:t>
      </w:r>
      <w:r>
        <w:rPr>
          <w:rFonts w:hint="eastAsia"/>
          <w:color w:val="000000"/>
          <w:lang w:val="en-US" w:eastAsia="zh-CN"/>
        </w:rPr>
        <w:t>学习</w:t>
      </w:r>
      <w:r>
        <w:rPr>
          <w:rFonts w:hint="eastAsia"/>
          <w:color w:val="000000"/>
        </w:rPr>
        <w:t>习近平法治思想</w:t>
      </w:r>
    </w:p>
    <w:p>
      <w:pPr>
        <w:pStyle w:val="style0"/>
        <w:bidi w:val="false"/>
        <w:rPr>
          <w:rFonts w:hint="eastAsia"/>
        </w:rPr>
      </w:pPr>
      <w:r>
        <w:rPr>
          <w:rFonts w:hint="eastAsia"/>
        </w:rPr>
        <w:t>坚持以习近平法治思想为推进法治政府建设的根本遵循和行动指南不动摇。</w:t>
      </w:r>
      <w:r>
        <w:rPr>
          <w:rFonts w:hint="eastAsia"/>
          <w:lang w:val="en-US" w:eastAsia="zh-CN"/>
        </w:rPr>
        <w:t>始终</w:t>
      </w:r>
      <w:r>
        <w:rPr>
          <w:rFonts w:hint="eastAsia"/>
        </w:rPr>
        <w:t>把深入学习贯彻习近平法治思想作为重要政治任务</w:t>
      </w:r>
      <w:r>
        <w:rPr>
          <w:rFonts w:hint="eastAsia"/>
          <w:lang w:eastAsia="zh-CN"/>
        </w:rPr>
        <w:t>，</w:t>
      </w:r>
      <w:r>
        <w:rPr>
          <w:rFonts w:hint="eastAsia"/>
        </w:rPr>
        <w:t>将习近平法治思想作为学习党的二十大精神的重要内容</w:t>
      </w:r>
      <w:r>
        <w:rPr>
          <w:rFonts w:hint="eastAsia"/>
          <w:lang w:eastAsia="zh-CN"/>
        </w:rPr>
        <w:t>，</w:t>
      </w:r>
      <w:r>
        <w:rPr>
          <w:rFonts w:hint="eastAsia"/>
        </w:rPr>
        <w:t>严格落实“第一议题”制度</w:t>
      </w:r>
      <w:r>
        <w:rPr>
          <w:rFonts w:hint="eastAsia"/>
          <w:lang w:eastAsia="zh-CN"/>
        </w:rPr>
        <w:t>，</w:t>
      </w:r>
      <w:r>
        <w:rPr>
          <w:rFonts w:hint="eastAsia"/>
        </w:rPr>
        <w:t>纳入理论学习中心组学习计划。严格落实领导干部学法制度</w:t>
      </w:r>
      <w:r>
        <w:rPr>
          <w:rFonts w:hint="eastAsia"/>
          <w:lang w:eastAsia="zh-CN"/>
        </w:rPr>
        <w:t>，</w:t>
      </w:r>
      <w:r>
        <w:rPr>
          <w:rFonts w:hint="eastAsia"/>
        </w:rPr>
        <w:t>建立学法用法清单</w:t>
      </w:r>
      <w:r>
        <w:rPr>
          <w:rFonts w:hint="eastAsia"/>
          <w:lang w:eastAsia="zh-CN"/>
        </w:rPr>
        <w:t>，</w:t>
      </w:r>
      <w:r>
        <w:rPr>
          <w:rFonts w:hint="eastAsia"/>
          <w:lang w:val="en-US" w:eastAsia="zh-CN"/>
        </w:rPr>
        <w:t>时常以党课的形式开展法治思想理论学习，</w:t>
      </w:r>
      <w:r>
        <w:rPr>
          <w:rFonts w:hint="eastAsia"/>
        </w:rPr>
        <w:t>切实提高</w:t>
      </w:r>
      <w:r>
        <w:rPr>
          <w:rFonts w:hint="eastAsia"/>
          <w:lang w:val="en-US" w:eastAsia="zh-CN"/>
        </w:rPr>
        <w:t>单位全体干部职工的</w:t>
      </w:r>
      <w:r>
        <w:rPr>
          <w:rFonts w:hint="eastAsia"/>
        </w:rPr>
        <w:t>政治判断力、政治领悟力、政治执行力。</w:t>
      </w:r>
    </w:p>
    <w:p>
      <w:pPr>
        <w:pStyle w:val="style3"/>
        <w:pageBreakBefore w:val="false"/>
        <w:widowControl w:val="false"/>
        <w:numPr>
          <w:ilvl w:val="0"/>
          <w:numId w:val="3"/>
        </w:numPr>
        <w:kinsoku/>
        <w:wordWrap/>
        <w:overflowPunct/>
        <w:topLinePunct w:val="false"/>
        <w:autoSpaceDE/>
        <w:autoSpaceDN/>
        <w:bidi w:val="false"/>
        <w:adjustRightInd/>
        <w:snapToGrid/>
        <w:spacing w:before="120" w:after="120" w:lineRule="exact" w:line="576"/>
        <w:textAlignment w:val="auto"/>
        <w:rPr>
          <w:color w:val="000000"/>
        </w:rPr>
      </w:pPr>
      <w:r>
        <w:rPr>
          <w:rFonts w:hint="eastAsia"/>
          <w:color w:val="000000"/>
        </w:rPr>
        <w:t>注重创新，干部学法不断强化</w:t>
      </w:r>
    </w:p>
    <w:p>
      <w:pPr>
        <w:pStyle w:val="style0"/>
        <w:pageBreakBefore w:val="false"/>
        <w:widowControl w:val="false"/>
        <w:kinsoku/>
        <w:wordWrap/>
        <w:overflowPunct/>
        <w:topLinePunct w:val="false"/>
        <w:autoSpaceDE/>
        <w:autoSpaceDN/>
        <w:bidi w:val="false"/>
        <w:adjustRightInd/>
        <w:snapToGrid/>
        <w:spacing w:before="120" w:after="120" w:lineRule="exact" w:line="576"/>
        <w:ind w:firstLine="480" w:firstLineChars="150"/>
        <w:textAlignment w:val="auto"/>
        <w:rPr>
          <w:rFonts w:ascii="仿宋" w:cs="仿宋" w:eastAsia="仿宋" w:hAnsi="仿宋"/>
          <w:color w:val="000000"/>
          <w:kern w:val="0"/>
          <w:sz w:val="32"/>
          <w:szCs w:val="32"/>
          <w:shd w:val="clear" w:color="auto" w:fill="ffffff"/>
        </w:rPr>
      </w:pPr>
      <w:r>
        <w:rPr>
          <w:rFonts w:ascii="仿宋" w:cs="仿宋" w:eastAsia="仿宋" w:hAnsi="仿宋" w:hint="eastAsia"/>
          <w:color w:val="000000"/>
          <w:kern w:val="0"/>
          <w:sz w:val="32"/>
          <w:szCs w:val="32"/>
          <w:shd w:val="clear" w:color="auto" w:fill="ffffff"/>
        </w:rPr>
        <w:t>为提高领导干部学法的自觉性、积极性，举行法治知识考试。通过12月宪法宣传周期间对全体干部职工进行</w:t>
      </w:r>
      <w:r>
        <w:rPr>
          <w:rFonts w:ascii="仿宋" w:cs="仿宋" w:hAnsi="仿宋" w:hint="eastAsia"/>
          <w:color w:val="000000"/>
          <w:kern w:val="0"/>
          <w:sz w:val="32"/>
          <w:szCs w:val="32"/>
          <w:shd w:val="clear" w:color="auto" w:fill="ffffff"/>
          <w:lang w:val="en-US" w:eastAsia="zh-CN"/>
        </w:rPr>
        <w:t>法律</w:t>
      </w:r>
      <w:r>
        <w:rPr>
          <w:rFonts w:ascii="仿宋" w:cs="仿宋" w:eastAsia="仿宋" w:hAnsi="仿宋" w:hint="eastAsia"/>
          <w:color w:val="000000"/>
          <w:kern w:val="0"/>
          <w:sz w:val="32"/>
          <w:szCs w:val="32"/>
          <w:shd w:val="clear" w:color="auto" w:fill="ffffff"/>
        </w:rPr>
        <w:t>知识测试不仅检验了领导干部宪法法律知识的学习成效，也让大家接受了一次宪法法律知识的再教育，进一步增强领导干部的法治观念，以考促学、以学促用、学用结合，营造领导干部带头尊崇宪法、学习宪法、遵守宪法、维护宪法、运用宪法的良好氛围。</w:t>
      </w:r>
    </w:p>
    <w:p>
      <w:pPr>
        <w:pStyle w:val="style3"/>
        <w:pageBreakBefore w:val="false"/>
        <w:widowControl w:val="false"/>
        <w:numPr>
          <w:ilvl w:val="0"/>
          <w:numId w:val="3"/>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注重广泛</w:t>
      </w:r>
      <w:r>
        <w:rPr>
          <w:rFonts w:hint="eastAsia"/>
          <w:color w:val="000000"/>
          <w:lang w:val="en-US" w:eastAsia="zh-CN"/>
        </w:rPr>
        <w:t>宣传</w:t>
      </w:r>
      <w:r>
        <w:rPr>
          <w:rFonts w:hint="eastAsia"/>
          <w:color w:val="000000"/>
        </w:rPr>
        <w:t>，法制宣传</w:t>
      </w:r>
      <w:r>
        <w:rPr>
          <w:rFonts w:hint="eastAsia"/>
          <w:color w:val="000000"/>
          <w:lang w:val="en-US" w:eastAsia="zh-CN"/>
        </w:rPr>
        <w:t>走村入户</w:t>
      </w:r>
    </w:p>
    <w:p>
      <w:pPr>
        <w:pStyle w:val="style0"/>
        <w:pageBreakBefore w:val="false"/>
        <w:widowControl w:val="false"/>
        <w:kinsoku/>
        <w:wordWrap/>
        <w:overflowPunct/>
        <w:topLinePunct w:val="false"/>
        <w:autoSpaceDE/>
        <w:autoSpaceDN/>
        <w:bidi w:val="false"/>
        <w:adjustRightInd/>
        <w:snapToGrid/>
        <w:spacing w:before="120" w:after="120" w:lineRule="exact" w:line="576"/>
        <w:ind w:firstLine="480" w:firstLineChars="150"/>
        <w:textAlignment w:val="auto"/>
        <w:rPr>
          <w:rFonts w:hint="eastAsia"/>
          <w:color w:val="000000"/>
        </w:rPr>
      </w:pPr>
      <w:r>
        <w:rPr>
          <w:rFonts w:ascii="仿宋" w:cs="仿宋" w:eastAsia="仿宋" w:hAnsi="仿宋" w:hint="eastAsia"/>
          <w:color w:val="000000"/>
          <w:kern w:val="0"/>
          <w:sz w:val="32"/>
          <w:szCs w:val="32"/>
          <w:shd w:val="clear" w:color="auto" w:fill="ffffff"/>
        </w:rPr>
        <w:t>通过开展主题活动，</w:t>
      </w:r>
      <w:r>
        <w:rPr>
          <w:rFonts w:ascii="仿宋" w:cs="仿宋" w:hAnsi="仿宋" w:hint="eastAsia"/>
          <w:color w:val="000000"/>
          <w:kern w:val="0"/>
          <w:sz w:val="32"/>
          <w:szCs w:val="32"/>
          <w:shd w:val="clear" w:color="auto" w:fill="ffffff"/>
          <w:lang w:val="en-US" w:eastAsia="zh-CN"/>
        </w:rPr>
        <w:t>将</w:t>
      </w:r>
      <w:r>
        <w:rPr>
          <w:rFonts w:ascii="仿宋" w:cs="仿宋" w:eastAsia="仿宋" w:hAnsi="仿宋" w:hint="eastAsia"/>
          <w:color w:val="000000"/>
          <w:kern w:val="0"/>
          <w:sz w:val="32"/>
          <w:szCs w:val="32"/>
          <w:shd w:val="clear" w:color="auto" w:fill="ffffff"/>
        </w:rPr>
        <w:t>法制宣传的工作覆盖面不断扩大，社会影响不断增强。一是将学法内容引入党员先进性教育活动。全体党员围绕法制宣传点工作，将学习法律作为提高党员干部素质的重要措施之一，采取警示教育、法律知识竞赛等形式组织学习法律，延伸了法制宣传的工作载体。二是开展“送法下乡”“送法进社区”活动。通过驻村工作队、联系乡镇、分包社区大力宣传与群众紧密相关的法律知识，增强了群众的法律意识和依法维权意识。</w:t>
      </w:r>
      <w:r>
        <w:rPr>
          <w:rFonts w:ascii="仿宋" w:cs="仿宋" w:hAnsi="仿宋" w:hint="eastAsia"/>
          <w:color w:val="000000"/>
          <w:kern w:val="0"/>
          <w:sz w:val="32"/>
          <w:szCs w:val="32"/>
          <w:shd w:val="clear" w:color="auto" w:fill="ffffff"/>
          <w:lang w:val="en-US" w:eastAsia="zh-CN"/>
        </w:rPr>
        <w:t>三是</w:t>
      </w:r>
      <w:r>
        <w:rPr>
          <w:rFonts w:ascii="仿宋" w:cs="仿宋" w:eastAsia="仿宋" w:hAnsi="仿宋" w:hint="eastAsia"/>
          <w:color w:val="000000"/>
          <w:kern w:val="0"/>
          <w:sz w:val="32"/>
          <w:szCs w:val="32"/>
          <w:shd w:val="clear" w:color="auto" w:fill="ffffff"/>
        </w:rPr>
        <w:t>利用新兴互联网媒体，开展多维度、全方位、立体化的普法宣传，增强法治宣传教育针对性、立体感，同时对招引企业宣传各类法规，号召企业将各类法规作为日常开会学习的重点内容，形成干部学法懂法用法氛围，把法律送到职工手中。</w:t>
      </w:r>
    </w:p>
    <w:p>
      <w:pPr>
        <w:pStyle w:val="style2"/>
        <w:pageBreakBefore w:val="false"/>
        <w:widowControl w:val="false"/>
        <w:numPr>
          <w:ilvl w:val="0"/>
          <w:numId w:val="1"/>
        </w:numPr>
        <w:kinsoku/>
        <w:wordWrap/>
        <w:overflowPunct/>
        <w:topLinePunct w:val="false"/>
        <w:autoSpaceDE/>
        <w:autoSpaceDN/>
        <w:bidi w:val="false"/>
        <w:adjustRightInd/>
        <w:snapToGrid/>
        <w:spacing w:before="120" w:after="120" w:lineRule="exact" w:line="576"/>
        <w:ind w:left="0" w:leftChars="0" w:firstLine="640" w:firstLineChars="200"/>
        <w:textAlignment w:val="auto"/>
        <w:rPr>
          <w:rFonts w:hint="eastAsia"/>
          <w:color w:val="000000"/>
        </w:rPr>
      </w:pPr>
      <w:r>
        <w:rPr>
          <w:rFonts w:hint="eastAsia"/>
          <w:color w:val="000000"/>
        </w:rPr>
        <w:t>存在的不足、原因和问题整改情况</w:t>
      </w:r>
    </w:p>
    <w:p>
      <w:pPr>
        <w:pStyle w:val="style3"/>
        <w:pageBreakBefore w:val="false"/>
        <w:widowControl w:val="false"/>
        <w:numPr>
          <w:ilvl w:val="0"/>
          <w:numId w:val="4"/>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依法行政意识仍需加强</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目前工作中存在以文件落实文件的现象，部分工作人员法律专业知识待加强，系统运用法治思维和法治方式深化改革、推动发展、化解矛盾、维护稳定的能力有待提升。</w:t>
      </w:r>
    </w:p>
    <w:p>
      <w:pPr>
        <w:pStyle w:val="style3"/>
        <w:pageBreakBefore w:val="false"/>
        <w:widowControl w:val="false"/>
        <w:numPr>
          <w:ilvl w:val="0"/>
          <w:numId w:val="4"/>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lang w:val="en-US" w:eastAsia="zh-CN"/>
        </w:rPr>
        <w:t>法治理论</w:t>
      </w:r>
      <w:r>
        <w:rPr>
          <w:rFonts w:hint="eastAsia"/>
          <w:color w:val="000000"/>
          <w:lang w:val="en-US" w:eastAsia="zh-CN"/>
        </w:rPr>
        <w:t>学习浮于表面</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lang w:val="en-US" w:eastAsia="zh-CN"/>
        </w:rPr>
        <w:t>存在部分工作人员</w:t>
      </w:r>
      <w:r>
        <w:rPr>
          <w:rFonts w:hint="eastAsia"/>
          <w:color w:val="000000"/>
        </w:rPr>
        <w:t>对理论学习的重要性认识不到位，只把学习当成一项任务，</w:t>
      </w:r>
      <w:r>
        <w:rPr>
          <w:rFonts w:hint="eastAsia"/>
          <w:color w:val="000000"/>
          <w:lang w:val="en-US" w:eastAsia="zh-CN"/>
        </w:rPr>
        <w:t>对学习仅浮于表面，并没有将学习与工作有效结合起来</w:t>
      </w:r>
      <w:r>
        <w:rPr>
          <w:rFonts w:hint="eastAsia"/>
          <w:color w:val="000000"/>
        </w:rPr>
        <w:t xml:space="preserve">。 </w:t>
      </w:r>
    </w:p>
    <w:p>
      <w:pPr>
        <w:pStyle w:val="style3"/>
        <w:pageBreakBefore w:val="false"/>
        <w:widowControl w:val="false"/>
        <w:numPr>
          <w:ilvl w:val="0"/>
          <w:numId w:val="4"/>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法治宣传教育方式方法创新不足</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目前已按要求完善落实法治宣传“规定动作”，但宣传方式不够多样，缺乏针对性和新颖性，在普法工作中“照本宣科”，法治宣传教育的覆盖面和影响力不够大。</w:t>
      </w:r>
    </w:p>
    <w:p>
      <w:pPr>
        <w:pStyle w:val="style2"/>
        <w:pageBreakBefore w:val="false"/>
        <w:widowControl w:val="false"/>
        <w:numPr>
          <w:ilvl w:val="0"/>
          <w:numId w:val="1"/>
        </w:numPr>
        <w:kinsoku/>
        <w:wordWrap/>
        <w:overflowPunct/>
        <w:topLinePunct w:val="false"/>
        <w:autoSpaceDE/>
        <w:autoSpaceDN/>
        <w:bidi w:val="false"/>
        <w:adjustRightInd/>
        <w:snapToGrid/>
        <w:spacing w:before="120" w:after="120" w:lineRule="exact" w:line="576"/>
        <w:ind w:left="0" w:leftChars="0" w:firstLine="640" w:firstLineChars="200"/>
        <w:textAlignment w:val="auto"/>
        <w:rPr>
          <w:rFonts w:hint="eastAsia"/>
          <w:color w:val="000000"/>
        </w:rPr>
      </w:pPr>
      <w:r>
        <w:rPr>
          <w:rFonts w:hint="eastAsia"/>
          <w:color w:val="000000"/>
        </w:rPr>
        <w:t>下一年度法治政府建设的初步安排</w:t>
      </w:r>
    </w:p>
    <w:p>
      <w:pPr>
        <w:pStyle w:val="style3"/>
        <w:pageBreakBefore w:val="false"/>
        <w:widowControl w:val="false"/>
        <w:numPr>
          <w:ilvl w:val="0"/>
          <w:numId w:val="5"/>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进一步提高依法行政能力</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lang w:val="en-US" w:eastAsia="zh-CN"/>
        </w:rPr>
        <w:t>持续</w:t>
      </w:r>
      <w:r>
        <w:rPr>
          <w:rFonts w:hint="eastAsia"/>
          <w:color w:val="000000"/>
        </w:rPr>
        <w:t>落实领导干部学法制度，不断提高领导干部法治素养和法治能力，带头尊法、学法、守法、用法。加强工作人员法律知识培训，完善工作人员学法用法考试和考核制度，建立健全法治能力考察测试制度。</w:t>
      </w:r>
    </w:p>
    <w:p>
      <w:pPr>
        <w:pStyle w:val="style3"/>
        <w:pageBreakBefore w:val="false"/>
        <w:widowControl w:val="false"/>
        <w:numPr>
          <w:ilvl w:val="0"/>
          <w:numId w:val="5"/>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提高政治站位，统筹推进法治建设工作</w:t>
      </w:r>
    </w:p>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持续推进法治思想学习，切实落实好理论学习中心组专题学法制度，全面加强党对法治工作的领导，统筹推进法治建设各项工作高效开展。</w:t>
      </w:r>
    </w:p>
    <w:p>
      <w:pPr>
        <w:pStyle w:val="style3"/>
        <w:pageBreakBefore w:val="false"/>
        <w:widowControl w:val="false"/>
        <w:numPr>
          <w:ilvl w:val="0"/>
          <w:numId w:val="5"/>
        </w:numPr>
        <w:kinsoku/>
        <w:wordWrap/>
        <w:overflowPunct/>
        <w:topLinePunct w:val="false"/>
        <w:autoSpaceDE/>
        <w:autoSpaceDN/>
        <w:bidi w:val="false"/>
        <w:adjustRightInd/>
        <w:snapToGrid/>
        <w:spacing w:before="120" w:after="120" w:lineRule="exact" w:line="576"/>
        <w:textAlignment w:val="auto"/>
        <w:rPr>
          <w:rFonts w:hint="eastAsia"/>
          <w:color w:val="000000"/>
        </w:rPr>
      </w:pPr>
      <w:r>
        <w:rPr>
          <w:rFonts w:hint="eastAsia"/>
          <w:color w:val="000000"/>
        </w:rPr>
        <w:t>强化宣传教育，抓好普法工作落实</w:t>
      </w:r>
    </w:p>
    <w:p>
      <w:pPr>
        <w:pStyle w:val="style0"/>
        <w:bidi w:val="false"/>
        <w:rPr>
          <w:rFonts w:hint="eastAsia"/>
          <w:color w:val="000000"/>
        </w:rPr>
      </w:pPr>
      <w:r>
        <w:rPr>
          <w:rFonts w:hint="eastAsia"/>
          <w:color w:val="000000"/>
        </w:rPr>
        <w:t>深入开展法治思想学习宣传教育，深入宣传中国特色社会主义法律体系，持续提升干部职工法治素养。落实好“谁执法谁普法”普法责任制，持续抓好干部职工学法和普法活动，确保学法时间和实效，组织开展好</w:t>
      </w:r>
      <w:r>
        <w:rPr>
          <w:rFonts w:hint="eastAsia"/>
          <w:color w:val="000000"/>
          <w:lang w:val="en-US" w:eastAsia="zh-CN"/>
        </w:rPr>
        <w:t>各项</w:t>
      </w:r>
      <w:r>
        <w:rPr>
          <w:rFonts w:hint="eastAsia"/>
          <w:color w:val="000000"/>
        </w:rPr>
        <w:t>宣传活动。</w:t>
      </w:r>
    </w:p>
    <w:bookmarkStart w:id="0" w:name="_GoBack"/>
    <w:bookmarkEnd w:id="0"/>
    <w:p>
      <w:pPr>
        <w:pStyle w:val="style0"/>
        <w:pageBreakBefore w:val="false"/>
        <w:widowControl w:val="false"/>
        <w:kinsoku/>
        <w:wordWrap/>
        <w:overflowPunct/>
        <w:topLinePunct w:val="false"/>
        <w:autoSpaceDE/>
        <w:autoSpaceDN/>
        <w:bidi w:val="false"/>
        <w:adjustRightInd/>
        <w:snapToGrid/>
        <w:spacing w:before="120" w:after="120" w:lineRule="exact" w:line="576"/>
        <w:textAlignment w:val="auto"/>
        <w:rPr>
          <w:rFonts w:hint="eastAsia"/>
          <w:color w:val="000000"/>
        </w:rPr>
      </w:pPr>
    </w:p>
    <w:p>
      <w:pPr>
        <w:pStyle w:val="style0"/>
        <w:pageBreakBefore w:val="false"/>
        <w:widowControl w:val="false"/>
        <w:kinsoku/>
        <w:wordWrap/>
        <w:overflowPunct/>
        <w:topLinePunct w:val="false"/>
        <w:autoSpaceDE/>
        <w:autoSpaceDN/>
        <w:bidi w:val="false"/>
        <w:adjustRightInd/>
        <w:snapToGrid/>
        <w:spacing w:before="120" w:after="120" w:lineRule="exact" w:line="576"/>
        <w:ind w:left="0" w:leftChars="0" w:firstLine="5120" w:firstLineChars="1600"/>
        <w:textAlignment w:val="auto"/>
        <w:rPr>
          <w:rFonts w:hint="eastAsia"/>
          <w:color w:val="000000"/>
          <w:lang w:val="en-US" w:eastAsia="zh-CN"/>
        </w:rPr>
      </w:pPr>
      <w:r>
        <w:rPr>
          <w:rFonts w:hint="eastAsia"/>
          <w:color w:val="000000"/>
          <w:lang w:val="en-US" w:eastAsia="zh-CN"/>
        </w:rPr>
        <w:t>沈丘县招商服务中心</w:t>
      </w:r>
    </w:p>
    <w:p>
      <w:pPr>
        <w:pStyle w:val="style0"/>
        <w:pageBreakBefore w:val="false"/>
        <w:widowControl w:val="false"/>
        <w:kinsoku/>
        <w:wordWrap/>
        <w:overflowPunct/>
        <w:topLinePunct w:val="false"/>
        <w:autoSpaceDE/>
        <w:autoSpaceDN/>
        <w:bidi w:val="false"/>
        <w:adjustRightInd/>
        <w:snapToGrid/>
        <w:spacing w:before="120" w:after="120" w:lineRule="exact" w:line="576"/>
        <w:ind w:left="0" w:leftChars="0" w:firstLine="5120" w:firstLineChars="1600"/>
        <w:textAlignment w:val="auto"/>
        <w:rPr>
          <w:rFonts w:hint="default"/>
          <w:color w:val="000000"/>
          <w:lang w:val="en-US" w:eastAsia="zh-CN"/>
        </w:rPr>
      </w:pPr>
      <w:r>
        <w:rPr>
          <w:rFonts w:hint="eastAsia"/>
          <w:color w:val="000000"/>
          <w:lang w:val="en-US" w:eastAsia="zh-CN"/>
        </w:rPr>
        <w:t>2023年12月14日</w:t>
      </w:r>
    </w:p>
    <w:sectPr>
      <w:pgSz w:w="11906" w:h="16838" w:orient="portrait"/>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8"/>
    <w:family w:val="modern"/>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7DD2B2B"/>
    <w:lvl w:ilvl="0">
      <w:start w:val="1"/>
      <w:numFmt w:val="chineseCounting"/>
      <w:suff w:val="nothing"/>
      <w:lvlText w:val="（%1）"/>
      <w:lvlJc w:val="left"/>
      <w:pPr>
        <w:ind w:left="0" w:firstLine="420"/>
      </w:pPr>
      <w:rPr>
        <w:rFonts w:hint="eastAsia"/>
      </w:rPr>
    </w:lvl>
  </w:abstractNum>
  <w:abstractNum w:abstractNumId="1">
    <w:nsid w:val="00000001"/>
    <w:multiLevelType w:val="singleLevel"/>
    <w:tmpl w:val="DB55067E"/>
    <w:lvl w:ilvl="0">
      <w:start w:val="1"/>
      <w:numFmt w:val="chineseCounting"/>
      <w:suff w:val="nothing"/>
      <w:lvlText w:val="%1、"/>
      <w:lvlJc w:val="left"/>
      <w:pPr/>
      <w:rPr>
        <w:rFonts w:hint="eastAsia"/>
      </w:rPr>
    </w:lvl>
  </w:abstractNum>
  <w:abstractNum w:abstractNumId="2">
    <w:nsid w:val="00000002"/>
    <w:multiLevelType w:val="singleLevel"/>
    <w:tmpl w:val="39F54AAD"/>
    <w:lvl w:ilvl="0">
      <w:start w:val="1"/>
      <w:numFmt w:val="chineseCounting"/>
      <w:suff w:val="nothing"/>
      <w:lvlText w:val="（%1）"/>
      <w:lvlJc w:val="left"/>
      <w:pPr>
        <w:ind w:left="0" w:firstLine="420"/>
      </w:pPr>
      <w:rPr>
        <w:rFonts w:hint="eastAsia"/>
      </w:rPr>
    </w:lvl>
  </w:abstractNum>
  <w:abstractNum w:abstractNumId="3">
    <w:nsid w:val="00000003"/>
    <w:multiLevelType w:val="singleLevel"/>
    <w:tmpl w:val="481863CB"/>
    <w:lvl w:ilvl="0">
      <w:start w:val="1"/>
      <w:numFmt w:val="chineseCounting"/>
      <w:suff w:val="nothing"/>
      <w:lvlText w:val="（%1）"/>
      <w:lvlJc w:val="left"/>
      <w:pPr>
        <w:ind w:left="0" w:firstLine="420"/>
      </w:pPr>
      <w:rPr>
        <w:rFonts w:hint="eastAsia"/>
      </w:rPr>
    </w:lvl>
  </w:abstractNum>
  <w:abstractNum w:abstractNumId="4">
    <w:nsid w:val="00000004"/>
    <w:multiLevelType w:val="singleLevel"/>
    <w:tmpl w:val="6194B7AB"/>
    <w:lvl w:ilvl="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lineRule="exact" w:line="570"/>
      <w:ind w:firstLine="880" w:firstLineChars="200"/>
      <w:jc w:val="both"/>
    </w:pPr>
    <w:rPr>
      <w:rFonts w:ascii="Calibri" w:cs="宋体" w:eastAsia="仿宋" w:hAnsi="Calibri"/>
      <w:kern w:val="2"/>
      <w:sz w:val="32"/>
      <w:szCs w:val="24"/>
      <w:lang w:val="en-US" w:bidi="ar-SA" w:eastAsia="zh-CN"/>
    </w:rPr>
  </w:style>
  <w:style w:type="paragraph" w:styleId="style1">
    <w:name w:val="heading 1"/>
    <w:basedOn w:val="style0"/>
    <w:next w:val="style0"/>
    <w:link w:val="style4097"/>
    <w:qFormat/>
    <w:uiPriority w:val="0"/>
    <w:pPr>
      <w:keepNext/>
      <w:keepLines/>
      <w:spacing w:before="160" w:beforeAutospacing="false" w:after="160" w:afterAutospacing="false" w:lineRule="auto" w:line="360"/>
      <w:ind w:firstLine="0" w:firstLineChars="0"/>
      <w:jc w:val="center"/>
      <w:outlineLvl w:val="0"/>
    </w:pPr>
    <w:rPr>
      <w:rFonts w:eastAsia="方正小标宋简体"/>
      <w:kern w:val="44"/>
      <w:sz w:val="44"/>
    </w:rPr>
  </w:style>
  <w:style w:type="paragraph" w:styleId="style2">
    <w:name w:val="heading 2"/>
    <w:basedOn w:val="style0"/>
    <w:next w:val="style0"/>
    <w:qFormat/>
    <w:uiPriority w:val="0"/>
    <w:pPr>
      <w:keepNext/>
      <w:keepLines/>
      <w:spacing w:before="140" w:beforeAutospacing="false" w:after="140" w:afterAutospacing="false" w:lineRule="exact" w:line="560"/>
      <w:ind w:firstLine="880" w:firstLineChars="200"/>
      <w:outlineLvl w:val="1"/>
    </w:pPr>
    <w:rPr>
      <w:rFonts w:ascii="Arial" w:eastAsia="黑体" w:hAnsi="Arial"/>
    </w:rPr>
  </w:style>
  <w:style w:type="paragraph" w:styleId="style3">
    <w:name w:val="heading 3"/>
    <w:basedOn w:val="style0"/>
    <w:next w:val="style0"/>
    <w:qFormat/>
    <w:uiPriority w:val="0"/>
    <w:pPr>
      <w:keepNext/>
      <w:keepLines/>
      <w:spacing w:beforeAutospacing="false" w:afterAutospacing="false" w:lineRule="exact" w:line="570"/>
      <w:outlineLvl w:val="2"/>
    </w:pPr>
    <w:rPr>
      <w:rFonts w:eastAsia="楷体"/>
    </w:rPr>
  </w:style>
  <w:style w:type="paragraph" w:styleId="style4">
    <w:name w:val="heading 4"/>
    <w:basedOn w:val="style0"/>
    <w:next w:val="style0"/>
    <w:qFormat/>
    <w:uiPriority w:val="0"/>
    <w:pPr>
      <w:keepNext/>
      <w:keepLines/>
      <w:spacing w:before="280" w:beforeAutospacing="false" w:after="290" w:afterAutospacing="false" w:lineRule="exact" w:line="570"/>
      <w:outlineLvl w:val="3"/>
    </w:pPr>
    <w:rPr>
      <w:rFonts w:ascii="Arial" w:eastAsia="仿宋" w:hAnsi="Arial"/>
      <w:b/>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Autospacing="true" w:afterAutospacing="true"/>
      <w:jc w:val="left"/>
    </w:pPr>
    <w:rPr>
      <w:kern w:val="0"/>
      <w:sz w:val="24"/>
    </w:rPr>
  </w:style>
  <w:style w:type="character" w:customStyle="1" w:styleId="style4097">
    <w:name w:val="标题 1 Char"/>
    <w:next w:val="style4097"/>
    <w:link w:val="style1"/>
    <w:qFormat/>
    <w:uiPriority w:val="0"/>
    <w:rPr>
      <w:rFonts w:eastAsia="方正小标宋简体"/>
      <w:kern w:val="44"/>
      <w:sz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Words>1993</Words>
  <Pages>1</Pages>
  <Characters>2014</Characters>
  <Application>WPS Office</Application>
  <DocSecurity>0</DocSecurity>
  <Paragraphs>44</Paragraphs>
  <ScaleCrop>false</ScaleCrop>
  <LinksUpToDate>false</LinksUpToDate>
  <CharactersWithSpaces>2015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2023-12-15T08:03:00Z</dcterms:created>
  <dc:creator>赵柯淇</dc:creator>
  <lastModifiedBy>TAS-AL00</lastModifiedBy>
  <lastPrinted>2023-12-16T07:06:00Z</lastPrinted>
  <dcterms:modified xsi:type="dcterms:W3CDTF">2023-12-19T09:06:58Z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522DCC0545D04B19B6C575E2D43D74E4_11</vt:lpwstr>
  </property>
</Properties>
</file>