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ascii="方正小标宋简体" w:hAnsi="方正小标宋简体" w:eastAsia="方正小标宋简体" w:cs="方正小标宋简体"/>
          <w:b/>
          <w:bCs/>
          <w:color w:val="C00000"/>
          <w:spacing w:val="-28"/>
          <w:sz w:val="64"/>
          <w:szCs w:val="64"/>
        </w:rPr>
      </w:pPr>
      <w:r>
        <w:rPr>
          <w:rFonts w:hint="eastAsia" w:ascii="方正小标宋简体" w:hAnsi="方正小标宋简体" w:eastAsia="方正小标宋简体" w:cs="方正小标宋简体"/>
          <w:color w:val="FF0000"/>
          <w:w w:val="50"/>
          <w:sz w:val="44"/>
          <w:szCs w:val="44"/>
        </w:rPr>
        <w:t xml:space="preserve"> </w:t>
      </w:r>
    </w:p>
    <w:p>
      <w:pPr>
        <w:jc w:val="center"/>
        <w:rPr>
          <w:rFonts w:ascii="仿宋_GB2312" w:hAnsi="宋体"/>
          <w:color w:val="000000"/>
          <w:shd w:val="clear" w:color="auto" w:fill="FFFFFF"/>
        </w:rPr>
      </w:pPr>
      <w:r>
        <w:rPr>
          <w:rFonts w:hint="eastAsia" w:ascii="方正小标宋简体" w:hAnsi="方正小标宋简体" w:eastAsia="方正小标宋简体" w:cs="方正小标宋简体"/>
          <w:color w:val="FF0000"/>
          <w:w w:val="50"/>
          <w:sz w:val="126"/>
          <w:szCs w:val="126"/>
        </w:rPr>
        <w:t>沈丘县人民防空服务中心文件</w:t>
      </w:r>
    </w:p>
    <w:p>
      <w:pPr>
        <w:spacing w:line="600" w:lineRule="exact"/>
        <w:jc w:val="center"/>
        <w:rPr>
          <w:rFonts w:ascii="仿宋_GB2312" w:eastAsia="仿宋_GB2312"/>
          <w:sz w:val="32"/>
          <w:szCs w:val="32"/>
        </w:rPr>
      </w:pPr>
      <w:r>
        <w:rPr>
          <w:rFonts w:hint="eastAsia" w:ascii="仿宋_GB2312" w:eastAsia="仿宋_GB2312"/>
          <w:sz w:val="32"/>
          <w:szCs w:val="32"/>
        </w:rPr>
        <w:t>沈人防〔2023〕1</w:t>
      </w:r>
      <w:r>
        <w:rPr>
          <w:rFonts w:ascii="仿宋_GB2312" w:eastAsia="仿宋_GB2312"/>
          <w:sz w:val="32"/>
          <w:szCs w:val="32"/>
        </w:rPr>
        <w:t>2</w:t>
      </w:r>
      <w:r>
        <w:rPr>
          <w:rFonts w:hint="eastAsia" w:ascii="仿宋_GB2312" w:eastAsia="仿宋_GB2312"/>
          <w:sz w:val="32"/>
          <w:szCs w:val="32"/>
        </w:rPr>
        <w:t>号</w:t>
      </w:r>
    </w:p>
    <w:p>
      <w:pPr>
        <w:widowControl/>
        <w:spacing w:line="400" w:lineRule="exact"/>
        <w:rPr>
          <w:rFonts w:ascii="仿宋_GB2312" w:hAnsi="宋体"/>
          <w:b/>
          <w:bCs/>
          <w:color w:val="C00000"/>
          <w:u w:val="thick" w:color="FF0000"/>
          <w:shd w:val="clear" w:color="auto" w:fill="FFFFFF"/>
        </w:rPr>
      </w:pPr>
      <w:r>
        <w:rPr>
          <w:rFonts w:hint="eastAsia" w:ascii="仿宋_GB2312" w:hAnsi="宋体"/>
          <w:b/>
          <w:bCs/>
          <w:color w:val="C00000"/>
          <w:u w:val="thick" w:color="FF0000"/>
          <w:shd w:val="clear" w:color="auto" w:fill="FFFFFF"/>
        </w:rPr>
        <w:t xml:space="preserve">                                                                               </w:t>
      </w:r>
    </w:p>
    <w:p>
      <w:pPr>
        <w:spacing w:line="560" w:lineRule="exact"/>
        <w:jc w:val="center"/>
        <w:rPr>
          <w:rFonts w:ascii="方正小标宋简体" w:eastAsia="方正小标宋简体"/>
          <w:sz w:val="44"/>
          <w:szCs w:val="48"/>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沈丘县人民防空服务中心</w:t>
      </w:r>
    </w:p>
    <w:p>
      <w:pPr>
        <w:spacing w:line="560" w:lineRule="exact"/>
        <w:jc w:val="center"/>
        <w:rPr>
          <w:rFonts w:ascii="方正小标宋简体" w:eastAsia="方正小标宋简体"/>
          <w:sz w:val="44"/>
          <w:szCs w:val="48"/>
        </w:rPr>
      </w:pPr>
      <w:r>
        <w:rPr>
          <w:rFonts w:hint="eastAsia" w:ascii="方正小标宋简体" w:eastAsia="方正小标宋简体"/>
          <w:sz w:val="44"/>
          <w:szCs w:val="48"/>
        </w:rPr>
        <w:t>关于2023年度法治政府建设情况的报告</w:t>
      </w:r>
    </w:p>
    <w:p>
      <w:pPr>
        <w:spacing w:line="560" w:lineRule="exact"/>
        <w:rPr>
          <w:rFonts w:ascii="仿宋_GB2312" w:eastAsia="仿宋_GB2312"/>
          <w:sz w:val="32"/>
          <w:szCs w:val="36"/>
        </w:rPr>
      </w:pPr>
    </w:p>
    <w:p>
      <w:pPr>
        <w:spacing w:line="560" w:lineRule="exact"/>
        <w:rPr>
          <w:rFonts w:ascii="仿宋_GB2312" w:eastAsia="仿宋_GB2312"/>
          <w:sz w:val="32"/>
          <w:szCs w:val="36"/>
        </w:rPr>
      </w:pPr>
      <w:r>
        <w:rPr>
          <w:rFonts w:hint="eastAsia" w:ascii="仿宋_GB2312" w:eastAsia="仿宋_GB2312"/>
          <w:sz w:val="32"/>
          <w:szCs w:val="36"/>
        </w:rPr>
        <w:t>沈丘县人民政府：</w:t>
      </w:r>
    </w:p>
    <w:p>
      <w:pPr>
        <w:spacing w:line="560" w:lineRule="exact"/>
        <w:ind w:firstLine="640" w:firstLineChars="200"/>
        <w:rPr>
          <w:rFonts w:ascii="仿宋_GB2312" w:eastAsia="仿宋_GB2312"/>
          <w:sz w:val="32"/>
          <w:szCs w:val="36"/>
        </w:rPr>
      </w:pPr>
      <w:r>
        <w:rPr>
          <w:rFonts w:ascii="仿宋_GB2312" w:eastAsia="仿宋_GB2312"/>
          <w:sz w:val="32"/>
          <w:szCs w:val="36"/>
        </w:rPr>
        <w:t>2023年是全面贯彻落实党的二十大精神的开局之年，</w:t>
      </w:r>
      <w:r>
        <w:rPr>
          <w:rFonts w:hint="eastAsia" w:ascii="仿宋_GB2312" w:eastAsia="仿宋_GB2312"/>
          <w:sz w:val="32"/>
          <w:szCs w:val="36"/>
        </w:rPr>
        <w:t>也</w:t>
      </w:r>
      <w:r>
        <w:rPr>
          <w:rFonts w:ascii="仿宋_GB2312" w:eastAsia="仿宋_GB2312"/>
          <w:sz w:val="32"/>
          <w:szCs w:val="36"/>
        </w:rPr>
        <w:t>是国防动员新体制重塑运行的起步之年，</w:t>
      </w:r>
      <w:r>
        <w:rPr>
          <w:rFonts w:hint="eastAsia" w:ascii="仿宋_GB2312" w:eastAsia="仿宋_GB2312"/>
          <w:sz w:val="32"/>
          <w:szCs w:val="36"/>
        </w:rPr>
        <w:t>沈丘县人民防空服务中心</w:t>
      </w:r>
      <w:r>
        <w:rPr>
          <w:rFonts w:ascii="仿宋_GB2312" w:eastAsia="仿宋_GB2312"/>
          <w:sz w:val="32"/>
          <w:szCs w:val="36"/>
        </w:rPr>
        <w:t>聚焦重点任务</w:t>
      </w:r>
      <w:r>
        <w:rPr>
          <w:rFonts w:hint="eastAsia" w:ascii="仿宋_GB2312" w:eastAsia="仿宋_GB2312"/>
          <w:sz w:val="32"/>
          <w:szCs w:val="36"/>
        </w:rPr>
        <w:t>、</w:t>
      </w:r>
      <w:r>
        <w:rPr>
          <w:rFonts w:ascii="仿宋_GB2312" w:eastAsia="仿宋_GB2312"/>
          <w:sz w:val="32"/>
          <w:szCs w:val="36"/>
        </w:rPr>
        <w:t>关键环节，树立大局意识、服务意识，坚持问题导向、结果导向</w:t>
      </w:r>
      <w:r>
        <w:rPr>
          <w:rFonts w:hint="eastAsia" w:ascii="仿宋_GB2312" w:eastAsia="仿宋_GB2312"/>
          <w:sz w:val="32"/>
          <w:szCs w:val="36"/>
          <w:lang w:eastAsia="zh-CN"/>
        </w:rPr>
        <w:t>，</w:t>
      </w:r>
      <w:r>
        <w:rPr>
          <w:rFonts w:hint="eastAsia" w:ascii="仿宋_GB2312" w:eastAsia="仿宋_GB2312"/>
          <w:sz w:val="32"/>
          <w:szCs w:val="36"/>
        </w:rPr>
        <w:t>不断开拓创新</w:t>
      </w:r>
      <w:r>
        <w:rPr>
          <w:rFonts w:ascii="仿宋_GB2312" w:eastAsia="仿宋_GB2312"/>
          <w:sz w:val="32"/>
          <w:szCs w:val="36"/>
        </w:rPr>
        <w:t>,进一步推动法治政府建设工作再上新台阶、取得新发展。</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一、单位负责人履行推进法治建设第一责任人职责情况</w:t>
      </w:r>
    </w:p>
    <w:p>
      <w:pPr>
        <w:spacing w:line="560" w:lineRule="exact"/>
        <w:ind w:firstLine="640" w:firstLineChars="200"/>
        <w:rPr>
          <w:rFonts w:ascii="仿宋_GB2312" w:hAnsi="黑体" w:eastAsia="仿宋_GB2312"/>
          <w:sz w:val="32"/>
          <w:szCs w:val="36"/>
        </w:rPr>
      </w:pPr>
      <w:r>
        <w:rPr>
          <w:rFonts w:hint="eastAsia" w:ascii="仿宋_GB2312" w:hAnsi="黑体" w:eastAsia="仿宋_GB2312"/>
          <w:sz w:val="32"/>
          <w:szCs w:val="36"/>
        </w:rPr>
        <w:t>中心</w:t>
      </w:r>
      <w:r>
        <w:rPr>
          <w:rFonts w:ascii="仿宋_GB2312" w:hAnsi="黑体" w:eastAsia="仿宋_GB2312"/>
          <w:sz w:val="32"/>
          <w:szCs w:val="36"/>
        </w:rPr>
        <w:t>主要领导认真履行法治建设第一责任人职责，切实加强对</w:t>
      </w:r>
      <w:r>
        <w:rPr>
          <w:rFonts w:hint="eastAsia" w:ascii="仿宋_GB2312" w:hAnsi="黑体" w:eastAsia="仿宋_GB2312"/>
          <w:sz w:val="32"/>
          <w:szCs w:val="36"/>
        </w:rPr>
        <w:t>中心</w:t>
      </w:r>
      <w:r>
        <w:rPr>
          <w:rFonts w:ascii="仿宋_GB2312" w:hAnsi="黑体" w:eastAsia="仿宋_GB2312"/>
          <w:sz w:val="32"/>
          <w:szCs w:val="36"/>
        </w:rPr>
        <w:t>法治政府建设工作的组织领导，定期听取法治建设工作情况汇报，全年召集党</w:t>
      </w:r>
      <w:r>
        <w:rPr>
          <w:rFonts w:hint="eastAsia" w:ascii="仿宋_GB2312" w:hAnsi="黑体" w:eastAsia="仿宋_GB2312"/>
          <w:sz w:val="32"/>
          <w:szCs w:val="36"/>
        </w:rPr>
        <w:t>支部</w:t>
      </w:r>
      <w:r>
        <w:rPr>
          <w:rFonts w:ascii="仿宋_GB2312" w:hAnsi="黑体" w:eastAsia="仿宋_GB2312"/>
          <w:sz w:val="32"/>
          <w:szCs w:val="36"/>
        </w:rPr>
        <w:t>专题会4次，对重大工作亲自部署、重大问题亲自过问、重点环节亲自督办，充分发挥好在法治建设中的引领示范作用，自觉为</w:t>
      </w:r>
      <w:r>
        <w:rPr>
          <w:rFonts w:hint="eastAsia" w:ascii="仿宋_GB2312" w:hAnsi="黑体" w:eastAsia="仿宋_GB2312"/>
          <w:sz w:val="32"/>
          <w:szCs w:val="36"/>
        </w:rPr>
        <w:t>中心</w:t>
      </w:r>
      <w:r>
        <w:rPr>
          <w:rFonts w:ascii="仿宋_GB2312" w:hAnsi="黑体" w:eastAsia="仿宋_GB2312"/>
          <w:sz w:val="32"/>
          <w:szCs w:val="36"/>
        </w:rPr>
        <w:t>作表率。</w:t>
      </w:r>
      <w:r>
        <w:rPr>
          <w:rFonts w:hint="eastAsia" w:ascii="仿宋_GB2312" w:hAnsi="黑体" w:eastAsia="仿宋_GB2312"/>
          <w:sz w:val="32"/>
          <w:szCs w:val="36"/>
        </w:rPr>
        <w:t>中心</w:t>
      </w:r>
      <w:r>
        <w:rPr>
          <w:rFonts w:ascii="仿宋_GB2312" w:hAnsi="黑体" w:eastAsia="仿宋_GB2312"/>
          <w:sz w:val="32"/>
          <w:szCs w:val="36"/>
        </w:rPr>
        <w:t>法治政府建设工作领导小组成员，按照“一岗双责”要求，落实各分管工作方面法治政府建设要求。</w:t>
      </w:r>
      <w:r>
        <w:rPr>
          <w:rFonts w:hint="eastAsia" w:ascii="仿宋_GB2312" w:hAnsi="黑体" w:eastAsia="仿宋_GB2312"/>
          <w:sz w:val="32"/>
          <w:szCs w:val="36"/>
        </w:rPr>
        <w:t>严格按照《沈丘县法治政府建设领导小组关于印发&lt;沈丘县</w:t>
      </w:r>
      <w:r>
        <w:rPr>
          <w:rFonts w:ascii="仿宋_GB2312" w:hAnsi="黑体" w:eastAsia="仿宋_GB2312"/>
          <w:sz w:val="32"/>
          <w:szCs w:val="36"/>
        </w:rPr>
        <w:t>2023年度法治政府建设工作安排</w:t>
      </w:r>
      <w:r>
        <w:rPr>
          <w:rFonts w:hint="eastAsia" w:ascii="仿宋_GB2312" w:hAnsi="黑体" w:eastAsia="仿宋_GB2312"/>
          <w:sz w:val="32"/>
          <w:szCs w:val="36"/>
        </w:rPr>
        <w:t>&gt;</w:t>
      </w:r>
      <w:r>
        <w:rPr>
          <w:rFonts w:ascii="仿宋_GB2312" w:hAnsi="黑体" w:eastAsia="仿宋_GB2312"/>
          <w:sz w:val="32"/>
          <w:szCs w:val="36"/>
        </w:rPr>
        <w:t>的通知</w:t>
      </w:r>
      <w:r>
        <w:rPr>
          <w:rFonts w:hint="eastAsia" w:ascii="仿宋_GB2312" w:hAnsi="黑体" w:eastAsia="仿宋_GB2312"/>
          <w:sz w:val="32"/>
          <w:szCs w:val="36"/>
        </w:rPr>
        <w:t>》（沈法政〔</w:t>
      </w:r>
      <w:r>
        <w:rPr>
          <w:rFonts w:ascii="仿宋_GB2312" w:hAnsi="黑体" w:eastAsia="仿宋_GB2312"/>
          <w:sz w:val="32"/>
          <w:szCs w:val="36"/>
        </w:rPr>
        <w:t>2023</w:t>
      </w:r>
      <w:r>
        <w:rPr>
          <w:rFonts w:hint="eastAsia" w:ascii="仿宋_GB2312" w:hAnsi="黑体" w:eastAsia="仿宋_GB2312"/>
          <w:sz w:val="32"/>
          <w:szCs w:val="36"/>
        </w:rPr>
        <w:t>〕</w:t>
      </w:r>
      <w:r>
        <w:rPr>
          <w:rFonts w:ascii="仿宋_GB2312" w:hAnsi="黑体" w:eastAsia="仿宋_GB2312"/>
          <w:sz w:val="32"/>
          <w:szCs w:val="36"/>
        </w:rPr>
        <w:t>1号</w:t>
      </w:r>
      <w:r>
        <w:rPr>
          <w:rFonts w:hint="eastAsia" w:ascii="仿宋_GB2312" w:hAnsi="黑体" w:eastAsia="仿宋_GB2312"/>
          <w:sz w:val="32"/>
          <w:szCs w:val="36"/>
        </w:rPr>
        <w:t>）要求</w:t>
      </w:r>
      <w:r>
        <w:rPr>
          <w:rFonts w:ascii="仿宋_GB2312" w:hAnsi="黑体" w:eastAsia="仿宋_GB2312"/>
          <w:sz w:val="32"/>
          <w:szCs w:val="36"/>
        </w:rPr>
        <w:t>，始终把法治建设摆在突出位置，纳入单位重要议事日程、年度工作要点和考核指标体系，形成年初有方案部署、年中有督导落实、年末有检查评议的常态化工作机制，有力推进法治政府建设工作。</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二、法治政府建设的主要举措和成效</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（一）深入学习贯彻习近平法治思想</w:t>
      </w:r>
    </w:p>
    <w:p>
      <w:pPr>
        <w:spacing w:line="560" w:lineRule="exact"/>
        <w:ind w:firstLine="640" w:firstLineChars="200"/>
        <w:rPr>
          <w:rFonts w:ascii="仿宋_GB2312" w:hAnsi="黑体" w:eastAsia="仿宋_GB2312"/>
          <w:sz w:val="32"/>
          <w:szCs w:val="36"/>
        </w:rPr>
      </w:pPr>
      <w:r>
        <w:rPr>
          <w:rFonts w:hint="eastAsia" w:ascii="仿宋_GB2312" w:hAnsi="黑体" w:eastAsia="仿宋_GB2312"/>
          <w:sz w:val="32"/>
          <w:szCs w:val="36"/>
        </w:rPr>
        <w:t>把习近平总书记在中央全面依法治国工作会上讲话、《中共中央关于全面推进依法治国若干重大问题的决定》，及十八大以来习近平总书记关于坚持和完善中国特色社会主义法治体系重要论述作为党支部学习内容，通过学习，不断巩固和强化了领导干部法治思维和法治意识。全年，中心党支部共组织集中学习4次，开展研讨交流会2次。</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（二）健全政府机构职能体系，推动更好发挥政府作用</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以工程项目审批制作为着力点，持续深化行政审批制度改革和优化人防政务服务。牢固树立“项目为王”鲜明导向，</w:t>
      </w:r>
      <w:r>
        <w:rPr>
          <w:rFonts w:hint="eastAsia" w:ascii="仿宋_GB2312" w:hAnsi="黑体" w:eastAsia="仿宋_GB2312"/>
          <w:sz w:val="32"/>
          <w:szCs w:val="36"/>
        </w:rPr>
        <w:t>按照《河南省人民防空办公室办&lt;关于印发企业投资项目承诺制改革应建防空地下室的民用建筑项目报建流程及相关制度的通知（试行）&gt;》(豫人防〔</w:t>
      </w:r>
      <w:r>
        <w:rPr>
          <w:rFonts w:ascii="仿宋_GB2312" w:hAnsi="黑体" w:eastAsia="仿宋_GB2312"/>
          <w:sz w:val="32"/>
          <w:szCs w:val="36"/>
        </w:rPr>
        <w:t>2021</w:t>
      </w:r>
      <w:r>
        <w:rPr>
          <w:rFonts w:hint="eastAsia" w:ascii="仿宋_GB2312" w:hAnsi="黑体" w:eastAsia="仿宋_GB2312"/>
          <w:sz w:val="32"/>
          <w:szCs w:val="36"/>
        </w:rPr>
        <w:t>〕</w:t>
      </w:r>
      <w:r>
        <w:rPr>
          <w:rFonts w:ascii="仿宋_GB2312" w:hAnsi="黑体" w:eastAsia="仿宋_GB2312"/>
          <w:sz w:val="32"/>
          <w:szCs w:val="36"/>
        </w:rPr>
        <w:t>69号</w:t>
      </w:r>
      <w:r>
        <w:rPr>
          <w:rFonts w:hint="eastAsia" w:ascii="仿宋_GB2312" w:hAnsi="黑体" w:eastAsia="仿宋_GB2312"/>
          <w:sz w:val="32"/>
          <w:szCs w:val="36"/>
        </w:rPr>
        <w:t>)精神</w:t>
      </w:r>
      <w:r>
        <w:rPr>
          <w:rFonts w:ascii="仿宋_GB2312" w:hAnsi="黑体" w:eastAsia="仿宋_GB2312"/>
          <w:sz w:val="32"/>
          <w:szCs w:val="36"/>
        </w:rPr>
        <w:t>，积极配合牵头部门开展承诺制服务，将“拿地即开工”项目人防事项办理时限压缩至1个工作日，极大地提升了项目建设人防审批服务效率。依法开展人防政务服务工作，实行网上受理、网上审批，积极开展“</w:t>
      </w:r>
      <w:r>
        <w:rPr>
          <w:rFonts w:hint="eastAsia" w:ascii="仿宋_GB2312" w:hAnsi="黑体" w:eastAsia="仿宋_GB2312"/>
          <w:sz w:val="32"/>
          <w:szCs w:val="36"/>
        </w:rPr>
        <w:t>联合审批、联合审图、联合验收”，</w:t>
      </w:r>
      <w:r>
        <w:rPr>
          <w:rFonts w:ascii="仿宋_GB2312" w:hAnsi="黑体" w:eastAsia="仿宋_GB2312"/>
          <w:sz w:val="32"/>
          <w:szCs w:val="36"/>
        </w:rPr>
        <w:t>2023年我</w:t>
      </w:r>
      <w:r>
        <w:rPr>
          <w:rFonts w:hint="eastAsia" w:ascii="仿宋_GB2312" w:hAnsi="黑体" w:eastAsia="仿宋_GB2312"/>
          <w:sz w:val="32"/>
          <w:szCs w:val="36"/>
        </w:rPr>
        <w:t>中心</w:t>
      </w:r>
      <w:r>
        <w:rPr>
          <w:rFonts w:ascii="仿宋_GB2312" w:hAnsi="黑体" w:eastAsia="仿宋_GB2312"/>
          <w:sz w:val="32"/>
          <w:szCs w:val="36"/>
        </w:rPr>
        <w:t>共受理的政务服务项目20余件，均在规定时间内办结</w:t>
      </w:r>
      <w:r>
        <w:rPr>
          <w:rFonts w:hint="eastAsia" w:ascii="仿宋_GB2312" w:hAnsi="黑体" w:eastAsia="仿宋_GB2312"/>
          <w:sz w:val="32"/>
          <w:szCs w:val="36"/>
        </w:rPr>
        <w:t>，</w:t>
      </w:r>
      <w:r>
        <w:rPr>
          <w:rFonts w:ascii="仿宋_GB2312" w:hAnsi="黑体" w:eastAsia="仿宋_GB2312"/>
          <w:sz w:val="32"/>
          <w:szCs w:val="36"/>
        </w:rPr>
        <w:t>政务服务工作做到依法依规、高效廉洁。</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（三）健全依法行政制度体系，</w:t>
      </w:r>
      <w:r>
        <w:rPr>
          <w:rFonts w:ascii="楷体_GB2312" w:hAnsi="黑体" w:eastAsia="楷体_GB2312"/>
          <w:b/>
          <w:bCs/>
          <w:sz w:val="32"/>
          <w:szCs w:val="36"/>
        </w:rPr>
        <w:t>加快推进政府治理规范化</w:t>
      </w:r>
    </w:p>
    <w:p>
      <w:pPr>
        <w:spacing w:line="560" w:lineRule="exact"/>
        <w:rPr>
          <w:rFonts w:ascii="楷体_GB2312" w:hAnsi="黑体" w:eastAsia="楷体_GB2312"/>
          <w:b/>
          <w:bCs/>
          <w:sz w:val="32"/>
          <w:szCs w:val="36"/>
        </w:rPr>
      </w:pPr>
      <w:r>
        <w:rPr>
          <w:rFonts w:hint="eastAsia" w:ascii="楷体_GB2312" w:hAnsi="黑体" w:eastAsia="楷体_GB2312"/>
          <w:b/>
          <w:bCs/>
          <w:sz w:val="32"/>
          <w:szCs w:val="36"/>
        </w:rPr>
        <w:t>程序化法治化</w:t>
      </w:r>
    </w:p>
    <w:p>
      <w:pPr>
        <w:spacing w:line="560" w:lineRule="exact"/>
        <w:ind w:firstLine="643" w:firstLineChars="200"/>
        <w:rPr>
          <w:rFonts w:ascii="楷体_GB2312" w:hAnsi="黑体" w:eastAsia="楷体_GB2312"/>
          <w:b/>
          <w:bCs/>
          <w:sz w:val="32"/>
          <w:szCs w:val="36"/>
        </w:rPr>
      </w:pPr>
      <w:r>
        <w:rPr>
          <w:rStyle w:val="6"/>
          <w:rFonts w:hint="eastAsia" w:ascii="仿宋_GB2312" w:hAnsi="微软雅黑" w:eastAsia="仿宋_GB2312"/>
          <w:sz w:val="32"/>
          <w:szCs w:val="32"/>
          <w:shd w:val="clear" w:color="auto" w:fill="FFFFFF"/>
        </w:rPr>
        <w:t>一是</w:t>
      </w:r>
      <w:r>
        <w:rPr>
          <w:rFonts w:hint="eastAsia" w:ascii="仿宋_GB2312" w:eastAsia="仿宋_GB2312"/>
          <w:sz w:val="32"/>
          <w:szCs w:val="32"/>
          <w:shd w:val="clear" w:color="auto" w:fill="FFFFFF"/>
        </w:rPr>
        <w:t>全面规范执法全过程工作。严格按照相关制度要求，在工作中，做到事前、事中、事后公开，执法全过程记录</w:t>
      </w:r>
      <w:r>
        <w:rPr>
          <w:rFonts w:hint="eastAsia" w:ascii="仿宋_GB2312" w:eastAsia="仿宋_GB2312"/>
          <w:sz w:val="32"/>
          <w:szCs w:val="32"/>
          <w:shd w:val="clear" w:color="auto" w:fill="FFFFFF"/>
          <w:lang w:eastAsia="zh-CN"/>
        </w:rPr>
        <w:t>，</w:t>
      </w:r>
      <w:bookmarkStart w:id="0" w:name="_GoBack"/>
      <w:bookmarkEnd w:id="0"/>
      <w:r>
        <w:rPr>
          <w:rFonts w:hint="eastAsia" w:ascii="仿宋_GB2312" w:eastAsia="仿宋_GB2312"/>
          <w:sz w:val="32"/>
          <w:szCs w:val="32"/>
          <w:shd w:val="clear" w:color="auto" w:fill="FFFFFF"/>
        </w:rPr>
        <w:t>资料完整，重大执法决定法制审核程序规范，促进执法规范公正文明，切实保障人民群众合法权益，营造更加公开透明、规范有序、公平高效的法治环境。</w:t>
      </w:r>
      <w:r>
        <w:rPr>
          <w:rStyle w:val="6"/>
          <w:rFonts w:hint="eastAsia" w:ascii="仿宋_GB2312" w:hAnsi="微软雅黑" w:eastAsia="仿宋_GB2312"/>
          <w:sz w:val="32"/>
          <w:szCs w:val="32"/>
          <w:shd w:val="clear" w:color="auto" w:fill="FFFFFF"/>
        </w:rPr>
        <w:t>二是</w:t>
      </w:r>
      <w:r>
        <w:rPr>
          <w:rFonts w:hint="eastAsia" w:ascii="仿宋_GB2312" w:eastAsia="仿宋_GB2312"/>
          <w:sz w:val="32"/>
          <w:szCs w:val="32"/>
          <w:shd w:val="clear" w:color="auto" w:fill="FFFFFF"/>
        </w:rPr>
        <w:t>坚持执法受理登记制度。在工作中，对当事人提供的材料出具书面受理凭证，依法进行调查，充分保障当事人的知情权、陈述权等权利，确保执法行为在法律法规规定的范围内、按照有关规定和程序正常有序地进行，坚决杜绝超越职权乱作为、推诿扯皮不作为、办事拖拉慢作为等现象的发生。</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（四）健全行政决策制度体系，</w:t>
      </w:r>
      <w:r>
        <w:rPr>
          <w:rFonts w:ascii="楷体_GB2312" w:hAnsi="黑体" w:eastAsia="楷体_GB2312"/>
          <w:b/>
          <w:bCs/>
          <w:sz w:val="32"/>
          <w:szCs w:val="36"/>
        </w:rPr>
        <w:t>不断提升行政决策公信力</w:t>
      </w:r>
    </w:p>
    <w:p>
      <w:pPr>
        <w:spacing w:line="560" w:lineRule="exact"/>
        <w:rPr>
          <w:rFonts w:ascii="楷体_GB2312" w:hAnsi="黑体" w:eastAsia="楷体_GB2312"/>
          <w:b/>
          <w:bCs/>
          <w:sz w:val="32"/>
          <w:szCs w:val="36"/>
        </w:rPr>
      </w:pPr>
      <w:r>
        <w:rPr>
          <w:rFonts w:hint="eastAsia" w:ascii="楷体_GB2312" w:hAnsi="黑体" w:eastAsia="楷体_GB2312"/>
          <w:b/>
          <w:bCs/>
          <w:sz w:val="32"/>
          <w:szCs w:val="36"/>
        </w:rPr>
        <w:t>和执行力</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严格落实重大事项决策程序规定。在决策过程中认真听取和吸收公众、行业、管理单位等各方面意见建议，对于专业性、技术性较强的重大行政决策事项组织行业专家进行咨询论证。坚持法律顾问制度，聘请</w:t>
      </w:r>
      <w:r>
        <w:rPr>
          <w:rFonts w:hint="eastAsia" w:ascii="仿宋_GB2312" w:hAnsi="黑体" w:eastAsia="仿宋_GB2312"/>
          <w:sz w:val="32"/>
          <w:szCs w:val="36"/>
        </w:rPr>
        <w:t>县</w:t>
      </w:r>
      <w:r>
        <w:rPr>
          <w:rFonts w:ascii="仿宋_GB2312" w:hAnsi="黑体" w:eastAsia="仿宋_GB2312"/>
          <w:sz w:val="32"/>
          <w:szCs w:val="36"/>
        </w:rPr>
        <w:t>知名律师事务所作为法律顾问，对我</w:t>
      </w:r>
      <w:r>
        <w:rPr>
          <w:rFonts w:hint="eastAsia" w:ascii="仿宋_GB2312" w:hAnsi="黑体" w:eastAsia="仿宋_GB2312"/>
          <w:sz w:val="32"/>
          <w:szCs w:val="36"/>
        </w:rPr>
        <w:t>中心</w:t>
      </w:r>
      <w:r>
        <w:rPr>
          <w:rFonts w:ascii="仿宋_GB2312" w:hAnsi="黑体" w:eastAsia="仿宋_GB2312"/>
          <w:sz w:val="32"/>
          <w:szCs w:val="36"/>
        </w:rPr>
        <w:t>重大决策提供法律咨询和专业法律意见。2023年，我</w:t>
      </w:r>
      <w:r>
        <w:rPr>
          <w:rFonts w:hint="eastAsia" w:ascii="仿宋_GB2312" w:hAnsi="黑体" w:eastAsia="仿宋_GB2312"/>
          <w:sz w:val="32"/>
          <w:szCs w:val="36"/>
        </w:rPr>
        <w:t>中心</w:t>
      </w:r>
      <w:r>
        <w:rPr>
          <w:rFonts w:ascii="仿宋_GB2312" w:hAnsi="黑体" w:eastAsia="仿宋_GB2312"/>
          <w:sz w:val="32"/>
          <w:szCs w:val="36"/>
        </w:rPr>
        <w:t>法律顾问共参与审查和修改重要法律文书或重大合同4份，参与诉讼代理1起，为重大决策和重大行政行为提供法律意见5条，切实提升了我</w:t>
      </w:r>
      <w:r>
        <w:rPr>
          <w:rFonts w:hint="eastAsia" w:ascii="仿宋_GB2312" w:hAnsi="黑体" w:eastAsia="仿宋_GB2312"/>
          <w:sz w:val="32"/>
          <w:szCs w:val="36"/>
        </w:rPr>
        <w:t>中心</w:t>
      </w:r>
      <w:r>
        <w:rPr>
          <w:rFonts w:ascii="仿宋_GB2312" w:hAnsi="黑体" w:eastAsia="仿宋_GB2312"/>
          <w:sz w:val="32"/>
          <w:szCs w:val="36"/>
        </w:rPr>
        <w:t>法治政府工作建设水平。</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（五）健全行政执法工作体系，</w:t>
      </w:r>
      <w:r>
        <w:rPr>
          <w:rFonts w:ascii="楷体_GB2312" w:hAnsi="黑体" w:eastAsia="楷体_GB2312"/>
          <w:b/>
          <w:bCs/>
          <w:sz w:val="32"/>
          <w:szCs w:val="36"/>
        </w:rPr>
        <w:t>全面推进严格规范公正文</w:t>
      </w:r>
      <w:r>
        <w:rPr>
          <w:rFonts w:hint="eastAsia" w:ascii="楷体_GB2312" w:hAnsi="黑体" w:eastAsia="楷体_GB2312"/>
          <w:b/>
          <w:bCs/>
          <w:sz w:val="32"/>
          <w:szCs w:val="36"/>
        </w:rPr>
        <w:t>明执法</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为坚决杜绝行政执法领域可能存在的执法不力、程序不严、执行政策走样、落实制度走偏等问题，在以案促改工作成效的基础上，按照“谁主管、谁监管、谁执法、谁处罚”的原则，进一步理顺工作程序，厘清职责边界，强化责任担当。按照“主动作为、提前介入、强化指导”的思路，转变执法方式，强化指导理念</w:t>
      </w:r>
      <w:r>
        <w:rPr>
          <w:rFonts w:hint="eastAsia" w:ascii="仿宋_GB2312" w:hAnsi="黑体" w:eastAsia="仿宋_GB2312"/>
          <w:sz w:val="32"/>
          <w:szCs w:val="36"/>
        </w:rPr>
        <w:t>，</w:t>
      </w:r>
      <w:r>
        <w:rPr>
          <w:rFonts w:ascii="仿宋_GB2312" w:hAnsi="黑体" w:eastAsia="仿宋_GB2312"/>
          <w:sz w:val="32"/>
          <w:szCs w:val="36"/>
        </w:rPr>
        <w:t>严格落实执法人员持证上岗和资格管理要求，我</w:t>
      </w:r>
      <w:r>
        <w:rPr>
          <w:rFonts w:hint="eastAsia" w:ascii="仿宋_GB2312" w:hAnsi="黑体" w:eastAsia="仿宋_GB2312"/>
          <w:sz w:val="32"/>
          <w:szCs w:val="36"/>
        </w:rPr>
        <w:t>中心</w:t>
      </w:r>
      <w:r>
        <w:rPr>
          <w:rFonts w:ascii="仿宋_GB2312" w:hAnsi="黑体" w:eastAsia="仿宋_GB2312"/>
          <w:sz w:val="32"/>
          <w:szCs w:val="36"/>
        </w:rPr>
        <w:t>5名执法人员持证率100%，年度执法证培训考核通过率100%。</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（六）健全突发事件应对体系，依法预防处置重大突发事件</w:t>
      </w:r>
    </w:p>
    <w:p>
      <w:pPr>
        <w:spacing w:line="560" w:lineRule="exact"/>
        <w:ind w:firstLine="640" w:firstLineChars="200"/>
        <w:rPr>
          <w:rFonts w:ascii="仿宋_GB2312" w:hAnsi="黑体" w:eastAsia="仿宋_GB2312"/>
          <w:sz w:val="32"/>
          <w:szCs w:val="36"/>
        </w:rPr>
      </w:pPr>
      <w:r>
        <w:rPr>
          <w:rFonts w:hint="eastAsia" w:ascii="仿宋_GB2312" w:hAnsi="黑体" w:eastAsia="仿宋_GB2312"/>
          <w:sz w:val="32"/>
          <w:szCs w:val="36"/>
        </w:rPr>
        <w:t>提高突发事件应对法治化规范化水平，深化应急应战一体化建设，做好应急应战一体化建设工作，开展城区居民应急应战组织指挥演练。广泛普及自救互救知识和技能，增强应急避险综合素质，推动居民学生、机关和企事业单位人员面对空袭、自然灾害等突发事件时，能够有效运用自救互救知识与技能，最大限度保护自己帮助他人。根据县级人防工作实际，全年共组织开展人防工程防汛应急疏散演练2次。</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（七）健全社会矛盾纠纷行政预防调处化解体系，</w:t>
      </w:r>
      <w:r>
        <w:rPr>
          <w:rFonts w:ascii="楷体_GB2312" w:hAnsi="黑体" w:eastAsia="楷体_GB2312"/>
          <w:b/>
          <w:bCs/>
          <w:sz w:val="32"/>
          <w:szCs w:val="36"/>
        </w:rPr>
        <w:t>不断促</w:t>
      </w:r>
    </w:p>
    <w:p>
      <w:pPr>
        <w:spacing w:line="560" w:lineRule="exact"/>
        <w:rPr>
          <w:rFonts w:ascii="楷体_GB2312" w:hAnsi="黑体" w:eastAsia="楷体_GB2312"/>
          <w:b/>
          <w:bCs/>
          <w:sz w:val="32"/>
          <w:szCs w:val="36"/>
        </w:rPr>
      </w:pPr>
      <w:r>
        <w:rPr>
          <w:rFonts w:hint="eastAsia" w:ascii="楷体_GB2312" w:hAnsi="黑体" w:eastAsia="楷体_GB2312"/>
          <w:b/>
          <w:bCs/>
          <w:sz w:val="32"/>
          <w:szCs w:val="36"/>
        </w:rPr>
        <w:t>进社会公平正义</w:t>
      </w:r>
    </w:p>
    <w:p>
      <w:pPr>
        <w:spacing w:line="560" w:lineRule="exact"/>
        <w:ind w:firstLine="640" w:firstLineChars="200"/>
        <w:rPr>
          <w:rFonts w:hint="eastAsia" w:ascii="仿宋_GB2312" w:hAnsi="黑体" w:eastAsia="仿宋_GB2312"/>
          <w:b/>
          <w:bCs/>
          <w:sz w:val="44"/>
          <w:szCs w:val="48"/>
        </w:rPr>
      </w:pPr>
      <w:r>
        <w:rPr>
          <w:rFonts w:hint="eastAsia" w:ascii="仿宋_GB2312" w:hAnsi="微软雅黑" w:eastAsia="仿宋_GB2312"/>
          <w:sz w:val="32"/>
          <w:szCs w:val="32"/>
          <w:shd w:val="clear" w:color="auto" w:fill="FFFFFF"/>
        </w:rPr>
        <w:t>中心高度重视信访工作，始终把畅通信访渠道、维护信访秩序、保护信访人合法权益与加强人民防空工作相联系，作为推进人防信访工作的首要任务，成立了信访工作领导小组，由中心负责人担任小组组长，亲自负责亲自抓。截至目前，中心实现全年“零上访”。</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（八）健全行政权力制约和监督体系，</w:t>
      </w:r>
      <w:r>
        <w:rPr>
          <w:rFonts w:ascii="楷体_GB2312" w:hAnsi="黑体" w:eastAsia="楷体_GB2312"/>
          <w:b/>
          <w:bCs/>
          <w:sz w:val="32"/>
          <w:szCs w:val="36"/>
        </w:rPr>
        <w:t>促进行政权力规范</w:t>
      </w:r>
      <w:r>
        <w:rPr>
          <w:rFonts w:hint="eastAsia" w:ascii="楷体_GB2312" w:hAnsi="黑体" w:eastAsia="楷体_GB2312"/>
          <w:b/>
          <w:bCs/>
          <w:sz w:val="32"/>
          <w:szCs w:val="36"/>
        </w:rPr>
        <w:t>透明运行</w:t>
      </w:r>
    </w:p>
    <w:p>
      <w:pPr>
        <w:spacing w:line="560" w:lineRule="exact"/>
        <w:ind w:left="28" w:right="23" w:firstLine="619"/>
        <w:rPr>
          <w:rFonts w:ascii="仿宋_GB2312" w:eastAsia="仿宋_GB2312"/>
          <w:sz w:val="32"/>
          <w:szCs w:val="32"/>
        </w:rPr>
      </w:pPr>
      <w:r>
        <w:rPr>
          <w:rFonts w:ascii="仿宋_GB2312" w:hAnsi="黑体" w:eastAsia="仿宋_GB2312"/>
          <w:sz w:val="32"/>
          <w:szCs w:val="36"/>
        </w:rPr>
        <w:t>加强干部职工的法治学习和培训</w:t>
      </w:r>
      <w:r>
        <w:rPr>
          <w:rFonts w:hint="eastAsia" w:ascii="仿宋_GB2312" w:hAnsi="黑体" w:eastAsia="仿宋_GB2312"/>
          <w:sz w:val="32"/>
          <w:szCs w:val="36"/>
        </w:rPr>
        <w:t>，</w:t>
      </w:r>
      <w:r>
        <w:rPr>
          <w:rFonts w:ascii="仿宋_GB2312" w:hAnsi="黑体" w:eastAsia="仿宋_GB2312"/>
          <w:sz w:val="32"/>
          <w:szCs w:val="36"/>
        </w:rPr>
        <w:t>落实干部学法制度，年初制订《2023年领导干部学法工作计划》，利用理论学习、主题党日、组织生活会、宣讲活动等集中形式，结合自学提升，强化全体工作人员的法律知识学习</w:t>
      </w:r>
      <w:r>
        <w:rPr>
          <w:rFonts w:hint="eastAsia" w:ascii="仿宋_GB2312" w:hAnsi="黑体" w:eastAsia="仿宋_GB2312"/>
          <w:sz w:val="32"/>
          <w:szCs w:val="36"/>
        </w:rPr>
        <w:t>，提升法律素养和执法能力。</w:t>
      </w:r>
      <w:r>
        <w:rPr>
          <w:rFonts w:hint="eastAsia" w:ascii="仿宋_GB2312" w:hAnsi="微软雅黑" w:eastAsia="仿宋_GB2312" w:cs="微软雅黑"/>
          <w:sz w:val="32"/>
          <w:szCs w:val="32"/>
        </w:rPr>
        <w:t>今年，中心共进行专题学法</w:t>
      </w:r>
      <w:r>
        <w:rPr>
          <w:rFonts w:ascii="仿宋_GB2312" w:hAnsi="微软雅黑" w:eastAsia="仿宋_GB2312" w:cs="微软雅黑"/>
          <w:sz w:val="32"/>
          <w:szCs w:val="32"/>
        </w:rPr>
        <w:t>4</w:t>
      </w:r>
      <w:r>
        <w:rPr>
          <w:rFonts w:hint="eastAsia" w:ascii="仿宋_GB2312" w:hAnsi="微软雅黑" w:eastAsia="仿宋_GB2312" w:cs="微软雅黑"/>
          <w:sz w:val="32"/>
          <w:szCs w:val="32"/>
        </w:rPr>
        <w:t>次，集中组织观看法治视频讲座</w:t>
      </w:r>
      <w:r>
        <w:rPr>
          <w:rFonts w:ascii="仿宋_GB2312" w:hAnsi="微软雅黑" w:eastAsia="仿宋_GB2312" w:cs="微软雅黑"/>
          <w:sz w:val="32"/>
          <w:szCs w:val="32"/>
        </w:rPr>
        <w:t>4</w:t>
      </w:r>
      <w:r>
        <w:rPr>
          <w:rFonts w:hint="eastAsia" w:ascii="仿宋_GB2312" w:hAnsi="微软雅黑" w:eastAsia="仿宋_GB2312" w:cs="微软雅黑"/>
          <w:sz w:val="32"/>
          <w:szCs w:val="32"/>
        </w:rPr>
        <w:t>次，全面提高干部职工的依法推动人防高质量发展能力，提高了干部职工依法行政的能力和水平。</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（九）健全法治政府建设科技保障体系，</w:t>
      </w:r>
      <w:r>
        <w:rPr>
          <w:rFonts w:ascii="楷体_GB2312" w:hAnsi="黑体" w:eastAsia="楷体_GB2312"/>
          <w:b/>
          <w:bCs/>
          <w:sz w:val="32"/>
          <w:szCs w:val="36"/>
        </w:rPr>
        <w:t>全面建设数字法</w:t>
      </w:r>
      <w:r>
        <w:rPr>
          <w:rFonts w:hint="eastAsia" w:ascii="楷体_GB2312" w:hAnsi="黑体" w:eastAsia="楷体_GB2312"/>
          <w:b/>
          <w:bCs/>
          <w:sz w:val="32"/>
          <w:szCs w:val="36"/>
        </w:rPr>
        <w:t>治政府</w:t>
      </w:r>
    </w:p>
    <w:p>
      <w:pPr>
        <w:spacing w:line="560" w:lineRule="exact"/>
        <w:ind w:firstLine="640" w:firstLineChars="200"/>
        <w:rPr>
          <w:rFonts w:hint="eastAsia" w:ascii="仿宋_GB2312" w:hAnsi="黑体" w:eastAsia="仿宋_GB2312"/>
          <w:sz w:val="32"/>
          <w:szCs w:val="36"/>
        </w:rPr>
      </w:pPr>
      <w:r>
        <w:rPr>
          <w:rFonts w:hint="eastAsia" w:ascii="仿宋_GB2312" w:hAnsi="黑体" w:eastAsia="仿宋_GB2312"/>
          <w:sz w:val="32"/>
          <w:szCs w:val="36"/>
        </w:rPr>
        <w:t>持续推进</w:t>
      </w:r>
      <w:r>
        <w:rPr>
          <w:rFonts w:hint="eastAsia" w:ascii="仿宋_GB2312" w:hAnsi="仿宋_GB2312" w:eastAsia="仿宋_GB2312" w:cs="仿宋_GB2312"/>
          <w:sz w:val="32"/>
          <w:szCs w:val="32"/>
        </w:rPr>
        <w:t>落实“不见面审批”、“网上办理”、“容缺办理”、“联审联批”、“标准地+承诺制”、“零接触”、“一次都不跑”等举措，</w:t>
      </w:r>
      <w:r>
        <w:rPr>
          <w:rFonts w:hint="eastAsia" w:ascii="仿宋_GB2312" w:hAnsi="黑体" w:eastAsia="仿宋_GB2312"/>
          <w:sz w:val="32"/>
          <w:szCs w:val="36"/>
        </w:rPr>
        <w:t>推行审批事项改革，全程实现网上办理，一方面可以方便群众不用来回跑，大大提高办理效率；另一方面也是打造“政务服务廉洁大厅”的需要，实现了办事群众与工作人员业务办理不见面。目前，中心政务服务事项网上可办率已达到100%，可实现100%的网上申报和线上审批办结。</w:t>
      </w:r>
    </w:p>
    <w:p>
      <w:pPr>
        <w:spacing w:line="560" w:lineRule="exact"/>
        <w:ind w:firstLine="643" w:firstLineChars="200"/>
        <w:rPr>
          <w:rFonts w:ascii="楷体_GB2312" w:hAnsi="黑体" w:eastAsia="楷体_GB2312"/>
          <w:b/>
          <w:bCs/>
          <w:sz w:val="32"/>
          <w:szCs w:val="36"/>
        </w:rPr>
      </w:pPr>
      <w:r>
        <w:rPr>
          <w:rFonts w:hint="eastAsia" w:ascii="楷体_GB2312" w:hAnsi="黑体" w:eastAsia="楷体_GB2312"/>
          <w:b/>
          <w:bCs/>
          <w:sz w:val="32"/>
          <w:szCs w:val="36"/>
        </w:rPr>
        <w:t>（十）加强党的领导，</w:t>
      </w:r>
      <w:r>
        <w:rPr>
          <w:rFonts w:ascii="楷体_GB2312" w:hAnsi="黑体" w:eastAsia="楷体_GB2312"/>
          <w:b/>
          <w:bCs/>
          <w:sz w:val="32"/>
          <w:szCs w:val="36"/>
        </w:rPr>
        <w:t>完善法治政府建设组织保障和落实</w:t>
      </w:r>
      <w:r>
        <w:rPr>
          <w:rFonts w:hint="eastAsia" w:ascii="楷体_GB2312" w:hAnsi="黑体" w:eastAsia="楷体_GB2312"/>
          <w:b/>
          <w:bCs/>
          <w:sz w:val="32"/>
          <w:szCs w:val="36"/>
        </w:rPr>
        <w:t>机制</w:t>
      </w:r>
    </w:p>
    <w:p>
      <w:pPr>
        <w:spacing w:line="560" w:lineRule="exact"/>
        <w:ind w:firstLine="640" w:firstLineChars="200"/>
        <w:rPr>
          <w:rFonts w:ascii="仿宋_GB2312" w:hAnsi="黑体" w:eastAsia="仿宋_GB2312"/>
          <w:sz w:val="32"/>
          <w:szCs w:val="36"/>
        </w:rPr>
      </w:pPr>
      <w:r>
        <w:rPr>
          <w:rFonts w:hint="eastAsia" w:ascii="仿宋_GB2312" w:hAnsi="黑体" w:eastAsia="仿宋_GB2312"/>
          <w:sz w:val="32"/>
          <w:szCs w:val="36"/>
        </w:rPr>
        <w:t>一是加强对法治建设的领导。根据《党政主要负责人履行推进法治建设第一责任人职责规定》，成立了推进法治建设工作领导小组，由中心负责人担任组长，分管领导为副组长，办公室设在综合股，具体负责领导和推进中心法治政府建设及法治理论教育培训工作。</w:t>
      </w:r>
    </w:p>
    <w:p>
      <w:pPr>
        <w:spacing w:line="560" w:lineRule="exact"/>
        <w:ind w:firstLine="640" w:firstLineChars="200"/>
        <w:rPr>
          <w:rFonts w:ascii="仿宋_GB2312" w:hAnsi="黑体" w:eastAsia="仿宋_GB2312"/>
          <w:sz w:val="32"/>
          <w:szCs w:val="36"/>
        </w:rPr>
      </w:pPr>
      <w:r>
        <w:rPr>
          <w:rFonts w:hint="eastAsia" w:ascii="仿宋_GB2312" w:hAnsi="黑体" w:eastAsia="仿宋_GB2312"/>
          <w:sz w:val="32"/>
          <w:szCs w:val="36"/>
        </w:rPr>
        <w:t>二是加强制度机制建设。组织制定了《人防服务中心干部职工学法用法制度》，并要求全体干部职工加强学习，要按中央“全面依法治国”和习近平总书记关于法治政府建设的有关要求，牢固树立宪法法律至上、法律面前人人平等、权由法定、权依法使等基本法治观念。</w:t>
      </w:r>
    </w:p>
    <w:p>
      <w:pPr>
        <w:spacing w:line="560" w:lineRule="exact"/>
        <w:ind w:firstLine="640" w:firstLineChars="200"/>
        <w:rPr>
          <w:rFonts w:hint="eastAsia" w:ascii="仿宋_GB2312" w:hAnsi="黑体" w:eastAsia="仿宋_GB2312"/>
          <w:sz w:val="32"/>
          <w:szCs w:val="36"/>
        </w:rPr>
      </w:pPr>
      <w:r>
        <w:rPr>
          <w:rFonts w:hint="eastAsia" w:ascii="仿宋_GB2312" w:hAnsi="黑体" w:eastAsia="仿宋_GB2312"/>
          <w:sz w:val="32"/>
          <w:szCs w:val="36"/>
        </w:rPr>
        <w:t>三是树立重视法治素养和法治能力的用人导向。把法治观念强不强、法治素养好不好作为衡量干部德才的重要标准，把能不能遵守法律、依法办事作为考察干部的重要内容，列入干部选拔任用的考核范围，在相同条件下，优先提拔法治素养好、依法办事能力强的干部。</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三、存在的不足、原因和问题整改情况</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一是执法力量和能力还有不足。因编制的问题，造成执法人员少，人防行政执法力量不足，实际执法工作偏重于少数几名同志</w:t>
      </w:r>
      <w:r>
        <w:rPr>
          <w:rFonts w:hint="eastAsia" w:ascii="仿宋_GB2312" w:hAnsi="黑体" w:eastAsia="仿宋_GB2312"/>
          <w:sz w:val="32"/>
          <w:szCs w:val="36"/>
        </w:rPr>
        <w:t>，</w:t>
      </w:r>
      <w:r>
        <w:rPr>
          <w:rFonts w:ascii="仿宋_GB2312" w:hAnsi="黑体" w:eastAsia="仿宋_GB2312"/>
          <w:sz w:val="32"/>
          <w:szCs w:val="36"/>
        </w:rPr>
        <w:t>一定程度上制约了人防行政执法工作的有效开展。</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二是法律法规体系还不够健全完善。现行法律法规有严重的滞后性和空白地带，部分重点业务领域相关实施细则缺位，部分条款已经不能适应社会发展的要求、操作性不强，依法行政缺乏可靠依据，存在凭感觉“摸石头过河”、无据可依就“历史沿袭”的情况。</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三是法治宣传和人防知识普及结合不够紧密。宣传时机相对局限，形式、内容较为单一，群众感知度不高。“以案释法”工作的引导、预防和解释功能须进一步强化。</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四、下一年度法治政府建设的初步安排</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（一）做好法治政府建设工作的统筹规划。完善法治政府建设工作机制，科学合理安排年度</w:t>
      </w:r>
      <w:r>
        <w:rPr>
          <w:rFonts w:hint="eastAsia" w:ascii="仿宋_GB2312" w:hAnsi="黑体" w:eastAsia="仿宋_GB2312"/>
          <w:sz w:val="32"/>
          <w:szCs w:val="36"/>
        </w:rPr>
        <w:t>县</w:t>
      </w:r>
      <w:r>
        <w:rPr>
          <w:rFonts w:ascii="仿宋_GB2312" w:hAnsi="黑体" w:eastAsia="仿宋_GB2312"/>
          <w:sz w:val="32"/>
          <w:szCs w:val="36"/>
        </w:rPr>
        <w:t>人防系统法治政府建设工作，深入开展党的二十大和习近平法治思想理论学习研究，强化党政主要负责人履行推进法治建设第一责任人职责。</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（二）加强法治队伍建设。做好全年学法计划和规划，组织全</w:t>
      </w:r>
      <w:r>
        <w:rPr>
          <w:rFonts w:hint="eastAsia" w:ascii="仿宋_GB2312" w:hAnsi="黑体" w:eastAsia="仿宋_GB2312"/>
          <w:sz w:val="32"/>
          <w:szCs w:val="36"/>
        </w:rPr>
        <w:t>县</w:t>
      </w:r>
      <w:r>
        <w:rPr>
          <w:rFonts w:ascii="仿宋_GB2312" w:hAnsi="黑体" w:eastAsia="仿宋_GB2312"/>
          <w:sz w:val="32"/>
          <w:szCs w:val="36"/>
        </w:rPr>
        <w:t>人防系统执法培训，通过采取法治讲堂集体学习培训、网络培训、发放法律书籍自学等多种方式加强执法人员的学习，不断提升执法队伍政治素质、法治素养、业务水平，提高依法行政的能力。</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三）抓好“三个制度”的落实。进一步规范对执法过程中影像设备的应用和影像资料的管理，完善执法影像资料存储、归档等制度。设置政府信息公开专栏，依法，充分、集中、及时的公开有关法规、政策、行政许可、行政处罚等信息；对发布的新政策，同步进行生动、鲜活“听得懂”的解读。</w:t>
      </w:r>
    </w:p>
    <w:p>
      <w:pPr>
        <w:spacing w:line="560" w:lineRule="exact"/>
        <w:ind w:firstLine="640" w:firstLineChars="200"/>
        <w:rPr>
          <w:rFonts w:ascii="仿宋_GB2312" w:hAnsi="黑体" w:eastAsia="仿宋_GB2312"/>
          <w:sz w:val="32"/>
          <w:szCs w:val="36"/>
        </w:rPr>
      </w:pPr>
      <w:r>
        <w:rPr>
          <w:rFonts w:ascii="仿宋_GB2312" w:hAnsi="黑体" w:eastAsia="仿宋_GB2312"/>
          <w:sz w:val="32"/>
          <w:szCs w:val="36"/>
        </w:rPr>
        <w:t>（</w:t>
      </w:r>
      <w:r>
        <w:rPr>
          <w:rFonts w:hint="eastAsia" w:ascii="仿宋_GB2312" w:hAnsi="黑体" w:eastAsia="仿宋_GB2312"/>
          <w:sz w:val="32"/>
          <w:szCs w:val="36"/>
        </w:rPr>
        <w:t>四</w:t>
      </w:r>
      <w:r>
        <w:rPr>
          <w:rFonts w:ascii="仿宋_GB2312" w:hAnsi="黑体" w:eastAsia="仿宋_GB2312"/>
          <w:sz w:val="32"/>
          <w:szCs w:val="36"/>
        </w:rPr>
        <w:t>）增强普法针对性和实效性。持续强化“谁执法、谁普法”意识，落实“谁管理、谁普法”“谁服务、谁普法”要求。加强内部法治宣传教育，发挥领导干部“关键少数”尊法学法守法用法的模范带动作用，全面落实国家工作人员学法用法制度。加大以案普法的力度，科学运用网络媒体资源和平台开展精准普法，探索开展互动式、服务式、场景式普法。</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五、其他需要报告的情况</w:t>
      </w:r>
    </w:p>
    <w:p>
      <w:pPr>
        <w:spacing w:line="560" w:lineRule="exact"/>
        <w:ind w:firstLine="640" w:firstLineChars="200"/>
        <w:rPr>
          <w:rFonts w:ascii="仿宋_GB2312" w:hAnsi="黑体" w:eastAsia="仿宋_GB2312"/>
          <w:sz w:val="32"/>
          <w:szCs w:val="36"/>
        </w:rPr>
      </w:pPr>
      <w:r>
        <w:rPr>
          <w:rFonts w:hint="eastAsia" w:ascii="仿宋_GB2312" w:hAnsi="黑体" w:eastAsia="仿宋_GB2312"/>
          <w:sz w:val="32"/>
          <w:szCs w:val="36"/>
        </w:rPr>
        <w:t>无。</w:t>
      </w:r>
    </w:p>
    <w:p>
      <w:pPr>
        <w:spacing w:line="560" w:lineRule="exact"/>
        <w:ind w:firstLine="640" w:firstLineChars="200"/>
        <w:rPr>
          <w:rFonts w:ascii="仿宋_GB2312" w:hAnsi="黑体" w:eastAsia="仿宋_GB2312"/>
          <w:sz w:val="32"/>
          <w:szCs w:val="36"/>
        </w:rPr>
      </w:pPr>
    </w:p>
    <w:p>
      <w:pPr>
        <w:spacing w:line="560" w:lineRule="exact"/>
        <w:ind w:firstLine="640" w:firstLineChars="200"/>
        <w:rPr>
          <w:rFonts w:ascii="仿宋_GB2312" w:hAnsi="黑体" w:eastAsia="仿宋_GB2312"/>
          <w:sz w:val="32"/>
          <w:szCs w:val="36"/>
        </w:rPr>
      </w:pPr>
    </w:p>
    <w:p>
      <w:pPr>
        <w:spacing w:line="560" w:lineRule="exact"/>
        <w:ind w:firstLine="640" w:firstLineChars="200"/>
        <w:rPr>
          <w:rFonts w:ascii="仿宋_GB2312" w:hAnsi="黑体" w:eastAsia="仿宋_GB2312"/>
          <w:sz w:val="32"/>
          <w:szCs w:val="36"/>
        </w:rPr>
      </w:pPr>
    </w:p>
    <w:p>
      <w:pPr>
        <w:spacing w:line="560" w:lineRule="exact"/>
        <w:ind w:firstLine="640" w:firstLineChars="200"/>
        <w:jc w:val="right"/>
        <w:rPr>
          <w:rFonts w:ascii="仿宋_GB2312" w:hAnsi="黑体" w:eastAsia="仿宋_GB2312"/>
          <w:sz w:val="32"/>
          <w:szCs w:val="36"/>
        </w:rPr>
      </w:pPr>
      <w:r>
        <w:rPr>
          <w:rFonts w:hint="eastAsia" w:ascii="仿宋_GB2312" w:hAnsi="黑体" w:eastAsia="仿宋_GB2312"/>
          <w:sz w:val="32"/>
          <w:szCs w:val="36"/>
        </w:rPr>
        <w:t>沈丘县人民防空服务中心</w:t>
      </w:r>
    </w:p>
    <w:p>
      <w:pPr>
        <w:spacing w:line="560" w:lineRule="exact"/>
        <w:ind w:firstLine="640" w:firstLineChars="200"/>
        <w:jc w:val="right"/>
        <w:rPr>
          <w:rFonts w:ascii="仿宋_GB2312" w:hAnsi="黑体" w:eastAsia="仿宋_GB2312"/>
          <w:sz w:val="32"/>
          <w:szCs w:val="36"/>
        </w:rPr>
      </w:pPr>
      <w:r>
        <w:rPr>
          <w:rFonts w:hint="eastAsia" w:ascii="仿宋_GB2312" w:hAnsi="黑体" w:eastAsia="仿宋_GB2312"/>
          <w:sz w:val="32"/>
          <w:szCs w:val="36"/>
        </w:rPr>
        <w:t>2</w:t>
      </w:r>
      <w:r>
        <w:rPr>
          <w:rFonts w:ascii="仿宋_GB2312" w:hAnsi="黑体" w:eastAsia="仿宋_GB2312"/>
          <w:sz w:val="32"/>
          <w:szCs w:val="36"/>
        </w:rPr>
        <w:t>023</w:t>
      </w:r>
      <w:r>
        <w:rPr>
          <w:rFonts w:hint="eastAsia" w:ascii="仿宋_GB2312" w:hAnsi="黑体" w:eastAsia="仿宋_GB2312"/>
          <w:sz w:val="32"/>
          <w:szCs w:val="36"/>
        </w:rPr>
        <w:t>年1</w:t>
      </w:r>
      <w:r>
        <w:rPr>
          <w:rFonts w:ascii="仿宋_GB2312" w:hAnsi="黑体" w:eastAsia="仿宋_GB2312"/>
          <w:sz w:val="32"/>
          <w:szCs w:val="36"/>
        </w:rPr>
        <w:t>2</w:t>
      </w:r>
      <w:r>
        <w:rPr>
          <w:rFonts w:hint="eastAsia" w:ascii="仿宋_GB2312" w:hAnsi="黑体" w:eastAsia="仿宋_GB2312"/>
          <w:sz w:val="32"/>
          <w:szCs w:val="36"/>
        </w:rPr>
        <w:t>月1</w:t>
      </w:r>
      <w:r>
        <w:rPr>
          <w:rFonts w:ascii="仿宋_GB2312" w:hAnsi="黑体" w:eastAsia="仿宋_GB2312"/>
          <w:sz w:val="32"/>
          <w:szCs w:val="36"/>
        </w:rPr>
        <w:t>3</w:t>
      </w:r>
      <w:r>
        <w:rPr>
          <w:rFonts w:hint="eastAsia" w:ascii="仿宋_GB2312" w:hAnsi="黑体" w:eastAsia="仿宋_GB2312"/>
          <w:sz w:val="32"/>
          <w:szCs w:val="36"/>
        </w:rPr>
        <w:t>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9107"/>
      <w:docPartObj>
        <w:docPartGallery w:val="autotext"/>
      </w:docPartObj>
    </w:sdtPr>
    <w:sdtContent>
      <w:p>
        <w:pPr>
          <w:pStyle w:val="2"/>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xYWJlYmQyMTM0OWI4MmVjNTRiZGY0MmZlZjBmZWUifQ=="/>
  </w:docVars>
  <w:rsids>
    <w:rsidRoot w:val="00335700"/>
    <w:rsid w:val="000025D7"/>
    <w:rsid w:val="000355B5"/>
    <w:rsid w:val="0005497E"/>
    <w:rsid w:val="00262771"/>
    <w:rsid w:val="00270BFD"/>
    <w:rsid w:val="002F683A"/>
    <w:rsid w:val="00312179"/>
    <w:rsid w:val="00335700"/>
    <w:rsid w:val="00341746"/>
    <w:rsid w:val="00364899"/>
    <w:rsid w:val="00451515"/>
    <w:rsid w:val="004710A9"/>
    <w:rsid w:val="00491389"/>
    <w:rsid w:val="004B42CF"/>
    <w:rsid w:val="005252DE"/>
    <w:rsid w:val="005433B0"/>
    <w:rsid w:val="00586ED3"/>
    <w:rsid w:val="005D4EAE"/>
    <w:rsid w:val="006144F8"/>
    <w:rsid w:val="006A5F55"/>
    <w:rsid w:val="0071228D"/>
    <w:rsid w:val="00751DC9"/>
    <w:rsid w:val="0079371D"/>
    <w:rsid w:val="0084049F"/>
    <w:rsid w:val="008C40DC"/>
    <w:rsid w:val="008C7574"/>
    <w:rsid w:val="00950D8C"/>
    <w:rsid w:val="0095448C"/>
    <w:rsid w:val="009A6892"/>
    <w:rsid w:val="009F2360"/>
    <w:rsid w:val="00C309E4"/>
    <w:rsid w:val="00C70446"/>
    <w:rsid w:val="00CE740C"/>
    <w:rsid w:val="00D07732"/>
    <w:rsid w:val="00D94C83"/>
    <w:rsid w:val="00F04D67"/>
    <w:rsid w:val="00F35E64"/>
    <w:rsid w:val="00F740AD"/>
    <w:rsid w:val="49DE603E"/>
    <w:rsid w:val="7FE4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C95B-07CB-4445-8220-20155EE08C2E}">
  <ds:schemaRefs/>
</ds:datastoreItem>
</file>

<file path=docProps/app.xml><?xml version="1.0" encoding="utf-8"?>
<Properties xmlns="http://schemas.openxmlformats.org/officeDocument/2006/extended-properties" xmlns:vt="http://schemas.openxmlformats.org/officeDocument/2006/docPropsVTypes">
  <Template>Normal</Template>
  <Pages>8</Pages>
  <Words>582</Words>
  <Characters>3321</Characters>
  <Lines>27</Lines>
  <Paragraphs>7</Paragraphs>
  <TotalTime>113</TotalTime>
  <ScaleCrop>false</ScaleCrop>
  <LinksUpToDate>false</LinksUpToDate>
  <CharactersWithSpaces>3896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2023-12-12T02:25:00Z</dcterms:created>
  <dc:creator>政 张</dc:creator>
  <cp:lastModifiedBy>昨夜明月</cp:lastModifiedBy>
  <cp:lastPrinted>2023-12-18T08:42:04Z</cp:lastPrinted>
  <dcterms:modified xsi:type="dcterms:W3CDTF">2023-12-18T09:12:09Z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183AF461704341849B45293770D8D9E2_12</vt:lpwstr>
  </property>
</Properties>
</file>