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23DB09">
      <w:pPr>
        <w:keepNext w:val="0"/>
        <w:keepLines w:val="0"/>
        <w:pageBreakBefore w:val="0"/>
        <w:widowControl w:val="0"/>
        <w:shd w:val="clear"/>
        <w:kinsoku/>
        <w:wordWrap/>
        <w:overflowPunct/>
        <w:topLinePunct w:val="0"/>
        <w:autoSpaceDE/>
        <w:autoSpaceDN/>
        <w:bidi w:val="0"/>
        <w:adjustRightInd/>
        <w:snapToGrid/>
        <w:spacing w:line="600" w:lineRule="exact"/>
        <w:ind w:left="0" w:leftChars="0"/>
        <w:textAlignment w:val="auto"/>
        <w:rPr>
          <w:rFonts w:hint="eastAsia" w:ascii="黑体" w:hAnsi="黑体" w:eastAsia="黑体" w:cs="黑体"/>
          <w:b w:val="0"/>
          <w:color w:val="auto"/>
          <w:sz w:val="32"/>
          <w:szCs w:val="32"/>
          <w:highlight w:val="none"/>
          <w:lang w:val="en-US" w:eastAsia="zh-CN"/>
        </w:rPr>
      </w:pPr>
      <w:bookmarkStart w:id="0" w:name="_GoBack"/>
      <w:bookmarkEnd w:id="0"/>
      <w:r>
        <w:rPr>
          <w:rFonts w:hint="eastAsia" w:ascii="黑体" w:hAnsi="黑体" w:eastAsia="黑体" w:cs="黑体"/>
          <w:b w:val="0"/>
          <w:color w:val="auto"/>
          <w:sz w:val="32"/>
          <w:szCs w:val="32"/>
          <w:highlight w:val="none"/>
          <w:lang w:eastAsia="zh-CN"/>
        </w:rPr>
        <w:t>沈丘县</w:t>
      </w:r>
      <w:r>
        <w:rPr>
          <w:rFonts w:hint="eastAsia" w:ascii="黑体" w:hAnsi="黑体" w:eastAsia="黑体" w:cs="黑体"/>
          <w:b w:val="0"/>
          <w:color w:val="auto"/>
          <w:sz w:val="32"/>
          <w:szCs w:val="32"/>
          <w:highlight w:val="none"/>
          <w:lang w:val="en-US" w:eastAsia="zh-CN"/>
        </w:rPr>
        <w:t>十六届人大</w:t>
      </w:r>
    </w:p>
    <w:p w14:paraId="728D815F">
      <w:pPr>
        <w:keepNext w:val="0"/>
        <w:keepLines w:val="0"/>
        <w:pageBreakBefore w:val="0"/>
        <w:widowControl w:val="0"/>
        <w:shd w:val="clear"/>
        <w:kinsoku/>
        <w:wordWrap/>
        <w:overflowPunct/>
        <w:topLinePunct w:val="0"/>
        <w:autoSpaceDE/>
        <w:autoSpaceDN/>
        <w:bidi w:val="0"/>
        <w:adjustRightInd/>
        <w:snapToGrid/>
        <w:spacing w:line="600" w:lineRule="exact"/>
        <w:ind w:left="0" w:leftChars="0"/>
        <w:textAlignment w:val="auto"/>
        <w:rPr>
          <w:rFonts w:hint="eastAsia" w:ascii="黑体" w:hAnsi="黑体" w:eastAsia="黑体" w:cs="黑体"/>
          <w:b w:val="0"/>
          <w:color w:val="auto"/>
          <w:sz w:val="32"/>
          <w:szCs w:val="32"/>
          <w:highlight w:val="none"/>
          <w:lang w:val="en-US" w:eastAsia="zh-CN"/>
        </w:rPr>
      </w:pPr>
      <w:r>
        <w:rPr>
          <w:rFonts w:hint="eastAsia" w:ascii="黑体" w:hAnsi="黑体" w:eastAsia="黑体" w:cs="黑体"/>
          <w:b w:val="0"/>
          <w:color w:val="auto"/>
          <w:sz w:val="32"/>
          <w:szCs w:val="32"/>
          <w:highlight w:val="none"/>
          <w:lang w:val="en-US" w:eastAsia="zh-CN"/>
        </w:rPr>
        <w:t>三次会议文件</w:t>
      </w:r>
      <w:r>
        <w:rPr>
          <w:rFonts w:hint="eastAsia" w:ascii="黑体" w:hAnsi="黑体" w:eastAsia="黑体" w:cs="黑体"/>
          <w:b w:val="0"/>
          <w:color w:val="000000" w:themeColor="text1"/>
          <w:sz w:val="32"/>
          <w:szCs w:val="32"/>
          <w:highlight w:val="none"/>
          <w:lang w:val="en-US" w:eastAsia="zh-CN"/>
          <w14:textFill>
            <w14:solidFill>
              <w14:schemeClr w14:val="tx1"/>
            </w14:solidFill>
          </w14:textFill>
        </w:rPr>
        <w:t>十七</w:t>
      </w:r>
    </w:p>
    <w:p w14:paraId="06B8CAB6">
      <w:pPr>
        <w:keepNext w:val="0"/>
        <w:keepLines w:val="0"/>
        <w:pageBreakBefore w:val="0"/>
        <w:widowControl w:val="0"/>
        <w:shd w:val="clear"/>
        <w:kinsoku/>
        <w:wordWrap/>
        <w:overflowPunct/>
        <w:topLinePunct w:val="0"/>
        <w:autoSpaceDE/>
        <w:autoSpaceDN/>
        <w:bidi w:val="0"/>
        <w:adjustRightInd/>
        <w:snapToGrid/>
        <w:spacing w:line="600" w:lineRule="exact"/>
        <w:ind w:left="0" w:leftChars="0" w:firstLine="0" w:firstLineChars="0"/>
        <w:jc w:val="center"/>
        <w:textAlignment w:val="auto"/>
        <w:rPr>
          <w:rFonts w:hint="eastAsia" w:ascii="Times New Roman" w:hAnsi="Times New Roman" w:eastAsia="方正小标宋简体" w:cs="方正小标宋简体"/>
          <w:b w:val="0"/>
          <w:color w:val="auto"/>
          <w:sz w:val="44"/>
          <w:szCs w:val="44"/>
          <w:highlight w:val="none"/>
          <w:lang w:eastAsia="zh-CN"/>
        </w:rPr>
      </w:pPr>
    </w:p>
    <w:p w14:paraId="003FC0C5">
      <w:pPr>
        <w:keepNext w:val="0"/>
        <w:keepLines w:val="0"/>
        <w:pageBreakBefore w:val="0"/>
        <w:widowControl w:val="0"/>
        <w:shd w:val="clear"/>
        <w:kinsoku/>
        <w:wordWrap/>
        <w:overflowPunct/>
        <w:topLinePunct w:val="0"/>
        <w:autoSpaceDE/>
        <w:autoSpaceDN/>
        <w:bidi w:val="0"/>
        <w:adjustRightInd/>
        <w:snapToGrid/>
        <w:spacing w:line="600" w:lineRule="exact"/>
        <w:ind w:left="0" w:leftChars="0" w:firstLine="0" w:firstLineChars="0"/>
        <w:jc w:val="center"/>
        <w:textAlignment w:val="auto"/>
        <w:rPr>
          <w:rFonts w:hint="eastAsia" w:ascii="Times New Roman" w:hAnsi="Times New Roman" w:eastAsia="方正小标宋简体" w:cs="方正小标宋简体"/>
          <w:b w:val="0"/>
          <w:color w:val="auto"/>
          <w:sz w:val="44"/>
          <w:szCs w:val="44"/>
          <w:highlight w:val="none"/>
          <w:lang w:eastAsia="zh-CN"/>
        </w:rPr>
      </w:pPr>
    </w:p>
    <w:p w14:paraId="1F6DF522">
      <w:pPr>
        <w:keepNext w:val="0"/>
        <w:keepLines w:val="0"/>
        <w:pageBreakBefore w:val="0"/>
        <w:widowControl w:val="0"/>
        <w:shd w:val="clear"/>
        <w:kinsoku/>
        <w:wordWrap/>
        <w:overflowPunct/>
        <w:topLinePunct w:val="0"/>
        <w:autoSpaceDE/>
        <w:autoSpaceDN/>
        <w:bidi w:val="0"/>
        <w:adjustRightInd/>
        <w:snapToGrid/>
        <w:spacing w:line="600" w:lineRule="exact"/>
        <w:ind w:left="0" w:leftChars="0" w:firstLine="0" w:firstLineChars="0"/>
        <w:jc w:val="center"/>
        <w:textAlignment w:val="auto"/>
        <w:rPr>
          <w:rFonts w:hint="eastAsia" w:ascii="Times New Roman" w:hAnsi="Times New Roman" w:eastAsia="方正小标宋简体" w:cs="方正小标宋简体"/>
          <w:b w:val="0"/>
          <w:color w:val="auto"/>
          <w:sz w:val="44"/>
          <w:szCs w:val="44"/>
          <w:highlight w:val="none"/>
          <w:lang w:eastAsia="zh-CN"/>
        </w:rPr>
      </w:pPr>
      <w:r>
        <w:rPr>
          <w:rFonts w:hint="eastAsia" w:ascii="Times New Roman" w:hAnsi="Times New Roman" w:eastAsia="方正小标宋简体" w:cs="方正小标宋简体"/>
          <w:b w:val="0"/>
          <w:color w:val="auto"/>
          <w:sz w:val="44"/>
          <w:szCs w:val="44"/>
          <w:highlight w:val="none"/>
          <w:lang w:eastAsia="zh-CN"/>
        </w:rPr>
        <w:t>政</w:t>
      </w:r>
      <w:r>
        <w:rPr>
          <w:rFonts w:hint="eastAsia" w:ascii="Times New Roman" w:hAnsi="Times New Roman" w:eastAsia="方正小标宋简体" w:cs="方正小标宋简体"/>
          <w:b w:val="0"/>
          <w:color w:val="auto"/>
          <w:sz w:val="44"/>
          <w:szCs w:val="44"/>
          <w:highlight w:val="none"/>
          <w:lang w:val="en-US" w:eastAsia="zh-CN"/>
        </w:rPr>
        <w:t xml:space="preserve"> </w:t>
      </w:r>
      <w:r>
        <w:rPr>
          <w:rFonts w:hint="eastAsia" w:ascii="Times New Roman" w:hAnsi="Times New Roman" w:eastAsia="方正小标宋简体" w:cs="方正小标宋简体"/>
          <w:b w:val="0"/>
          <w:color w:val="auto"/>
          <w:sz w:val="44"/>
          <w:szCs w:val="44"/>
          <w:highlight w:val="none"/>
          <w:lang w:eastAsia="zh-CN"/>
        </w:rPr>
        <w:t>府</w:t>
      </w:r>
      <w:r>
        <w:rPr>
          <w:rFonts w:hint="eastAsia" w:ascii="Times New Roman" w:hAnsi="Times New Roman" w:eastAsia="方正小标宋简体" w:cs="方正小标宋简体"/>
          <w:b w:val="0"/>
          <w:color w:val="auto"/>
          <w:sz w:val="44"/>
          <w:szCs w:val="44"/>
          <w:highlight w:val="none"/>
          <w:lang w:val="en-US" w:eastAsia="zh-CN"/>
        </w:rPr>
        <w:t xml:space="preserve"> </w:t>
      </w:r>
      <w:r>
        <w:rPr>
          <w:rFonts w:hint="eastAsia" w:ascii="Times New Roman" w:hAnsi="Times New Roman" w:eastAsia="方正小标宋简体" w:cs="方正小标宋简体"/>
          <w:b w:val="0"/>
          <w:color w:val="auto"/>
          <w:sz w:val="44"/>
          <w:szCs w:val="44"/>
          <w:highlight w:val="none"/>
          <w:lang w:eastAsia="zh-CN"/>
        </w:rPr>
        <w:t>工</w:t>
      </w:r>
      <w:r>
        <w:rPr>
          <w:rFonts w:hint="eastAsia" w:ascii="Times New Roman" w:hAnsi="Times New Roman" w:eastAsia="方正小标宋简体" w:cs="方正小标宋简体"/>
          <w:b w:val="0"/>
          <w:color w:val="auto"/>
          <w:sz w:val="44"/>
          <w:szCs w:val="44"/>
          <w:highlight w:val="none"/>
          <w:lang w:val="en-US" w:eastAsia="zh-CN"/>
        </w:rPr>
        <w:t xml:space="preserve"> </w:t>
      </w:r>
      <w:r>
        <w:rPr>
          <w:rFonts w:hint="eastAsia" w:ascii="Times New Roman" w:hAnsi="Times New Roman" w:eastAsia="方正小标宋简体" w:cs="方正小标宋简体"/>
          <w:b w:val="0"/>
          <w:color w:val="auto"/>
          <w:sz w:val="44"/>
          <w:szCs w:val="44"/>
          <w:highlight w:val="none"/>
          <w:lang w:eastAsia="zh-CN"/>
        </w:rPr>
        <w:t>作</w:t>
      </w:r>
      <w:r>
        <w:rPr>
          <w:rFonts w:hint="eastAsia" w:ascii="Times New Roman" w:hAnsi="Times New Roman" w:eastAsia="方正小标宋简体" w:cs="方正小标宋简体"/>
          <w:b w:val="0"/>
          <w:color w:val="auto"/>
          <w:sz w:val="44"/>
          <w:szCs w:val="44"/>
          <w:highlight w:val="none"/>
          <w:lang w:val="en-US" w:eastAsia="zh-CN"/>
        </w:rPr>
        <w:t xml:space="preserve"> </w:t>
      </w:r>
      <w:r>
        <w:rPr>
          <w:rFonts w:hint="eastAsia" w:ascii="Times New Roman" w:hAnsi="Times New Roman" w:eastAsia="方正小标宋简体" w:cs="方正小标宋简体"/>
          <w:b w:val="0"/>
          <w:color w:val="auto"/>
          <w:sz w:val="44"/>
          <w:szCs w:val="44"/>
          <w:highlight w:val="none"/>
          <w:lang w:eastAsia="zh-CN"/>
        </w:rPr>
        <w:t>报</w:t>
      </w:r>
      <w:r>
        <w:rPr>
          <w:rFonts w:hint="eastAsia" w:ascii="Times New Roman" w:hAnsi="Times New Roman" w:eastAsia="方正小标宋简体" w:cs="方正小标宋简体"/>
          <w:b w:val="0"/>
          <w:color w:val="auto"/>
          <w:sz w:val="44"/>
          <w:szCs w:val="44"/>
          <w:highlight w:val="none"/>
          <w:lang w:val="en-US" w:eastAsia="zh-CN"/>
        </w:rPr>
        <w:t xml:space="preserve"> </w:t>
      </w:r>
      <w:r>
        <w:rPr>
          <w:rFonts w:hint="eastAsia" w:ascii="Times New Roman" w:hAnsi="Times New Roman" w:eastAsia="方正小标宋简体" w:cs="方正小标宋简体"/>
          <w:b w:val="0"/>
          <w:color w:val="auto"/>
          <w:sz w:val="44"/>
          <w:szCs w:val="44"/>
          <w:highlight w:val="none"/>
          <w:lang w:eastAsia="zh-CN"/>
        </w:rPr>
        <w:t>告</w:t>
      </w:r>
    </w:p>
    <w:p w14:paraId="0120F4E4">
      <w:pPr>
        <w:pStyle w:val="2"/>
        <w:keepNext w:val="0"/>
        <w:keepLines w:val="0"/>
        <w:pageBreakBefore w:val="0"/>
        <w:widowControl w:val="0"/>
        <w:shd w:val="clear"/>
        <w:kinsoku/>
        <w:wordWrap/>
        <w:overflowPunct/>
        <w:topLinePunct w:val="0"/>
        <w:autoSpaceDE/>
        <w:autoSpaceDN/>
        <w:bidi w:val="0"/>
        <w:adjustRightInd/>
        <w:spacing w:line="600" w:lineRule="exact"/>
        <w:ind w:left="0" w:leftChars="0"/>
        <w:jc w:val="center"/>
        <w:textAlignment w:val="auto"/>
        <w:rPr>
          <w:rFonts w:hint="eastAsia" w:ascii="楷体_GB2312" w:hAnsi="楷体_GB2312" w:eastAsia="楷体_GB2312" w:cs="楷体_GB2312"/>
          <w:b w:val="0"/>
          <w:color w:val="auto"/>
          <w:kern w:val="2"/>
          <w:sz w:val="32"/>
          <w:szCs w:val="24"/>
          <w:highlight w:val="none"/>
          <w:lang w:val="en-US" w:eastAsia="zh-CN" w:bidi="ar-SA"/>
        </w:rPr>
      </w:pPr>
      <w:r>
        <w:rPr>
          <w:rFonts w:hint="eastAsia" w:ascii="楷体_GB2312" w:hAnsi="楷体_GB2312" w:eastAsia="楷体_GB2312" w:cs="楷体_GB2312"/>
          <w:b w:val="0"/>
          <w:color w:val="auto"/>
          <w:kern w:val="2"/>
          <w:sz w:val="32"/>
          <w:szCs w:val="24"/>
          <w:highlight w:val="none"/>
          <w:lang w:val="en-US" w:eastAsia="zh-CN" w:bidi="ar-SA"/>
        </w:rPr>
        <w:t>——</w:t>
      </w:r>
      <w:r>
        <w:rPr>
          <w:rFonts w:hint="eastAsia" w:ascii="楷体_GB2312" w:hAnsi="楷体_GB2312" w:eastAsia="楷体_GB2312" w:cs="楷体_GB2312"/>
          <w:b w:val="0"/>
          <w:color w:val="auto"/>
          <w:w w:val="90"/>
          <w:kern w:val="2"/>
          <w:sz w:val="32"/>
          <w:szCs w:val="24"/>
          <w:highlight w:val="none"/>
          <w:lang w:val="en-US" w:eastAsia="zh-CN" w:bidi="ar-SA"/>
        </w:rPr>
        <w:t>2023年2月8日在沈丘县第十六届人民代表大会第三次会议上</w:t>
      </w:r>
    </w:p>
    <w:p w14:paraId="0A57F265">
      <w:pPr>
        <w:pStyle w:val="2"/>
        <w:keepNext w:val="0"/>
        <w:keepLines w:val="0"/>
        <w:pageBreakBefore w:val="0"/>
        <w:widowControl w:val="0"/>
        <w:shd w:val="clear"/>
        <w:kinsoku/>
        <w:wordWrap/>
        <w:overflowPunct/>
        <w:topLinePunct w:val="0"/>
        <w:autoSpaceDE/>
        <w:autoSpaceDN/>
        <w:bidi w:val="0"/>
        <w:adjustRightInd/>
        <w:spacing w:line="600" w:lineRule="exact"/>
        <w:ind w:left="0" w:leftChars="0"/>
        <w:jc w:val="center"/>
        <w:textAlignment w:val="auto"/>
        <w:rPr>
          <w:rFonts w:hint="eastAsia" w:ascii="Times New Roman" w:hAnsi="Times New Roman" w:eastAsia="楷体_GB2312" w:cs="楷体_GB2312"/>
          <w:b w:val="0"/>
          <w:color w:val="auto"/>
          <w:kern w:val="2"/>
          <w:sz w:val="32"/>
          <w:szCs w:val="24"/>
          <w:highlight w:val="none"/>
          <w:lang w:val="en-US" w:eastAsia="zh-CN" w:bidi="ar-SA"/>
        </w:rPr>
      </w:pPr>
      <w:r>
        <w:rPr>
          <w:rFonts w:hint="eastAsia" w:ascii="Times New Roman" w:hAnsi="Times New Roman" w:eastAsia="楷体_GB2312" w:cs="楷体_GB2312"/>
          <w:b w:val="0"/>
          <w:color w:val="auto"/>
          <w:kern w:val="2"/>
          <w:sz w:val="32"/>
          <w:szCs w:val="24"/>
          <w:highlight w:val="none"/>
          <w:lang w:val="en-US" w:eastAsia="zh-CN" w:bidi="ar-SA"/>
        </w:rPr>
        <w:t>沈丘县人民政府县长  余长坤</w:t>
      </w:r>
    </w:p>
    <w:p w14:paraId="16F18758">
      <w:pPr>
        <w:keepNext w:val="0"/>
        <w:keepLines w:val="0"/>
        <w:pageBreakBefore w:val="0"/>
        <w:widowControl w:val="0"/>
        <w:shd w:val="clear"/>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K" w:cs="方正仿宋_GBK"/>
          <w:b w:val="0"/>
          <w:color w:val="auto"/>
          <w:sz w:val="32"/>
          <w:highlight w:val="none"/>
          <w:lang w:eastAsia="zh-CN"/>
        </w:rPr>
      </w:pPr>
    </w:p>
    <w:p w14:paraId="488501B0">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left="0" w:leftChars="0"/>
        <w:jc w:val="both"/>
        <w:textAlignment w:val="auto"/>
        <w:rPr>
          <w:rFonts w:hint="eastAsia" w:ascii="仿宋_GB2312" w:hAnsi="仿宋_GB2312" w:eastAsia="仿宋_GB2312" w:cs="仿宋_GB2312"/>
          <w:color w:val="auto"/>
          <w:spacing w:val="0"/>
          <w:w w:val="100"/>
          <w:kern w:val="1"/>
          <w:sz w:val="32"/>
          <w:szCs w:val="32"/>
          <w:highlight w:val="none"/>
          <w:lang w:eastAsia="zh-CN"/>
        </w:rPr>
      </w:pPr>
      <w:r>
        <w:rPr>
          <w:rFonts w:hint="eastAsia" w:ascii="仿宋_GB2312" w:hAnsi="仿宋_GB2312" w:eastAsia="仿宋_GB2312" w:cs="仿宋_GB2312"/>
          <w:color w:val="auto"/>
          <w:spacing w:val="0"/>
          <w:w w:val="100"/>
          <w:kern w:val="1"/>
          <w:sz w:val="32"/>
          <w:szCs w:val="32"/>
          <w:highlight w:val="none"/>
          <w:lang w:eastAsia="zh-CN"/>
        </w:rPr>
        <w:t>各位代表：</w:t>
      </w:r>
    </w:p>
    <w:p w14:paraId="039478F5">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仿宋_GB2312" w:hAnsi="仿宋_GB2312" w:eastAsia="仿宋_GB2312" w:cs="仿宋_GB2312"/>
          <w:color w:val="auto"/>
          <w:spacing w:val="0"/>
          <w:w w:val="100"/>
          <w:kern w:val="1"/>
          <w:sz w:val="32"/>
          <w:szCs w:val="32"/>
          <w:highlight w:val="none"/>
          <w:lang w:eastAsia="zh-CN"/>
        </w:rPr>
      </w:pPr>
      <w:r>
        <w:rPr>
          <w:rFonts w:hint="eastAsia" w:ascii="仿宋_GB2312" w:hAnsi="仿宋_GB2312" w:eastAsia="仿宋_GB2312" w:cs="仿宋_GB2312"/>
          <w:color w:val="auto"/>
          <w:spacing w:val="0"/>
          <w:w w:val="100"/>
          <w:kern w:val="1"/>
          <w:sz w:val="32"/>
          <w:szCs w:val="32"/>
          <w:highlight w:val="none"/>
          <w:lang w:eastAsia="zh-CN"/>
        </w:rPr>
        <w:t>现在，我代表县人民政府，向大会报告工作，请予审议，并请各位政协委员和其他列席人员提出意见。</w:t>
      </w:r>
    </w:p>
    <w:p w14:paraId="18C469EC">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pacing w:val="0"/>
          <w:w w:val="100"/>
          <w:kern w:val="1"/>
          <w:sz w:val="32"/>
          <w:szCs w:val="32"/>
          <w:highlight w:val="none"/>
          <w:lang w:eastAsia="zh-CN"/>
        </w:rPr>
      </w:pPr>
    </w:p>
    <w:p w14:paraId="189D9CBD">
      <w:pPr>
        <w:keepNext w:val="0"/>
        <w:keepLines w:val="0"/>
        <w:pageBreakBefore w:val="0"/>
        <w:widowControl w:val="0"/>
        <w:shd w:val="clear"/>
        <w:kinsoku/>
        <w:wordWrap/>
        <w:overflowPunct/>
        <w:topLinePunct w:val="0"/>
        <w:autoSpaceDE/>
        <w:autoSpaceDN/>
        <w:bidi w:val="0"/>
        <w:adjustRightInd/>
        <w:snapToGrid/>
        <w:spacing w:line="600" w:lineRule="exact"/>
        <w:ind w:left="0" w:leftChars="0"/>
        <w:jc w:val="center"/>
        <w:textAlignment w:val="auto"/>
        <w:rPr>
          <w:rFonts w:hint="eastAsia" w:ascii="Times New Roman" w:hAnsi="Times New Roman" w:eastAsia="方正黑体_GBK" w:cs="方正黑体_GBK"/>
          <w:b w:val="0"/>
          <w:color w:val="auto"/>
          <w:sz w:val="32"/>
          <w:szCs w:val="32"/>
          <w:highlight w:val="none"/>
          <w:lang w:eastAsia="zh-CN"/>
        </w:rPr>
      </w:pPr>
      <w:r>
        <w:rPr>
          <w:rFonts w:hint="eastAsia" w:ascii="黑体" w:hAnsi="黑体" w:eastAsia="黑体" w:cs="黑体"/>
          <w:color w:val="000000" w:themeColor="text1"/>
          <w:spacing w:val="0"/>
          <w:w w:val="100"/>
          <w:sz w:val="32"/>
          <w:szCs w:val="32"/>
          <w:highlight w:val="none"/>
          <w:u w:val="none" w:color="auto"/>
          <w:lang w:eastAsia="zh-CN"/>
          <w14:textFill>
            <w14:solidFill>
              <w14:schemeClr w14:val="tx1"/>
            </w14:solidFill>
          </w14:textFill>
        </w:rPr>
        <w:t>一、2022年政府工作回顾</w:t>
      </w:r>
    </w:p>
    <w:p w14:paraId="5C20678B">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val="0"/>
        <w:snapToGrid/>
        <w:spacing w:before="0" w:line="600" w:lineRule="exact"/>
        <w:ind w:left="0" w:leftChars="0" w:right="0" w:rightChars="0" w:firstLine="640" w:firstLineChars="200"/>
        <w:jc w:val="both"/>
        <w:textAlignment w:val="auto"/>
        <w:outlineLvl w:val="9"/>
        <w:rPr>
          <w:rFonts w:hint="default" w:ascii="仿宋_GB2312" w:hAnsi="仿宋_GB2312" w:eastAsia="仿宋_GB2312" w:cs="仿宋_GB2312"/>
          <w:color w:val="auto"/>
          <w:spacing w:val="0"/>
          <w:w w:val="100"/>
          <w:kern w:val="1"/>
          <w:sz w:val="32"/>
          <w:szCs w:val="32"/>
          <w:highlight w:val="none"/>
          <w:lang w:eastAsia="zh-CN"/>
        </w:rPr>
      </w:pPr>
    </w:p>
    <w:p w14:paraId="60713140">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val="0"/>
        <w:snapToGrid/>
        <w:spacing w:before="0" w:line="60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w w:val="100"/>
          <w:kern w:val="1"/>
          <w:sz w:val="32"/>
          <w:szCs w:val="32"/>
          <w:highlight w:val="none"/>
          <w:lang w:val="en-US" w:eastAsia="zh-CN"/>
        </w:rPr>
      </w:pPr>
      <w:r>
        <w:rPr>
          <w:rFonts w:hint="eastAsia" w:ascii="仿宋_GB2312" w:hAnsi="仿宋_GB2312" w:eastAsia="仿宋_GB2312" w:cs="仿宋_GB2312"/>
          <w:color w:val="auto"/>
          <w:spacing w:val="0"/>
          <w:w w:val="100"/>
          <w:kern w:val="1"/>
          <w:sz w:val="32"/>
          <w:szCs w:val="32"/>
          <w:highlight w:val="none"/>
          <w:lang w:eastAsia="zh-CN"/>
        </w:rPr>
        <w:t>刚刚过去的一年，极不寻常、极为不易。</w:t>
      </w:r>
      <w:r>
        <w:rPr>
          <w:rFonts w:hint="default" w:ascii="仿宋_GB2312" w:hAnsi="仿宋_GB2312" w:eastAsia="仿宋_GB2312" w:cs="仿宋_GB2312"/>
          <w:color w:val="auto"/>
          <w:spacing w:val="0"/>
          <w:w w:val="100"/>
          <w:kern w:val="1"/>
          <w:sz w:val="32"/>
          <w:szCs w:val="32"/>
          <w:highlight w:val="none"/>
          <w:lang w:eastAsia="zh-CN"/>
        </w:rPr>
        <w:t>面对新冠肺炎疫情、经济下行等多重冲击，在市委、市政府和县委的坚强领导下，在县人大、县政协的监督支持下，</w:t>
      </w:r>
      <w:r>
        <w:rPr>
          <w:rFonts w:hint="eastAsia" w:ascii="仿宋_GB2312" w:hAnsi="仿宋_GB2312" w:eastAsia="仿宋_GB2312" w:cs="仿宋_GB2312"/>
          <w:color w:val="auto"/>
          <w:spacing w:val="0"/>
          <w:w w:val="100"/>
          <w:kern w:val="1"/>
          <w:sz w:val="32"/>
          <w:szCs w:val="32"/>
          <w:highlight w:val="none"/>
          <w:lang w:eastAsia="zh-CN"/>
        </w:rPr>
        <w:t>县政府</w:t>
      </w:r>
      <w:r>
        <w:rPr>
          <w:rFonts w:hint="default" w:ascii="仿宋_GB2312" w:hAnsi="仿宋_GB2312" w:eastAsia="仿宋_GB2312" w:cs="仿宋_GB2312"/>
          <w:color w:val="auto"/>
          <w:spacing w:val="0"/>
          <w:w w:val="100"/>
          <w:kern w:val="1"/>
          <w:sz w:val="32"/>
          <w:szCs w:val="32"/>
          <w:highlight w:val="none"/>
          <w:lang w:eastAsia="zh-CN"/>
        </w:rPr>
        <w:t>坚持以习近平新时代中国特色社会主义思想为指导，全面贯彻党的二十大精神，认真落实习近平总书记视察河南重要讲话精神，控疫情、抓发展、惠民生、保稳定</w:t>
      </w:r>
      <w:r>
        <w:rPr>
          <w:rFonts w:hint="eastAsia" w:ascii="仿宋_GB2312" w:hAnsi="仿宋_GB2312" w:eastAsia="仿宋_GB2312" w:cs="仿宋_GB2312"/>
          <w:color w:val="auto"/>
          <w:spacing w:val="0"/>
          <w:w w:val="100"/>
          <w:kern w:val="1"/>
          <w:sz w:val="32"/>
          <w:szCs w:val="32"/>
          <w:highlight w:val="none"/>
          <w:lang w:val="en" w:eastAsia="zh-CN"/>
        </w:rPr>
        <w:t>，有效应对各种风险挑战，</w:t>
      </w:r>
      <w:r>
        <w:rPr>
          <w:rFonts w:hint="eastAsia" w:ascii="仿宋_GB2312" w:hAnsi="仿宋_GB2312" w:eastAsia="仿宋_GB2312" w:cs="仿宋_GB2312"/>
          <w:color w:val="auto"/>
          <w:spacing w:val="0"/>
          <w:w w:val="100"/>
          <w:kern w:val="1"/>
          <w:sz w:val="32"/>
          <w:szCs w:val="32"/>
          <w:highlight w:val="none"/>
          <w:lang w:eastAsia="zh-CN"/>
        </w:rPr>
        <w:t>各项经济指标呈稳定增长态势。</w:t>
      </w:r>
      <w:r>
        <w:rPr>
          <w:rFonts w:hint="eastAsia" w:ascii="仿宋_GB2312" w:hAnsi="仿宋_GB2312" w:eastAsia="仿宋_GB2312" w:cs="仿宋_GB2312"/>
          <w:color w:val="auto"/>
          <w:spacing w:val="0"/>
          <w:w w:val="100"/>
          <w:kern w:val="1"/>
          <w:sz w:val="32"/>
          <w:szCs w:val="32"/>
          <w:highlight w:val="none"/>
          <w:lang w:val="en-US" w:eastAsia="zh-CN"/>
        </w:rPr>
        <w:t>全县地区生产总值完成396.4亿元，同比增长6.3%；社会消费品零售总额同比增长2.5%；规模以上工业增加值同比增长10.8%；固定资产投资同比增长13.5%；</w:t>
      </w:r>
      <w:r>
        <w:rPr>
          <w:rFonts w:hint="eastAsia" w:ascii="仿宋_GB2312" w:hAnsi="仿宋_GB2312" w:eastAsia="仿宋_GB2312" w:cs="仿宋_GB2312"/>
          <w:b w:val="0"/>
          <w:bCs w:val="0"/>
          <w:color w:val="auto"/>
          <w:spacing w:val="0"/>
          <w:w w:val="100"/>
          <w:kern w:val="1"/>
          <w:sz w:val="32"/>
          <w:szCs w:val="32"/>
          <w:highlight w:val="none"/>
          <w:lang w:val="en-US" w:eastAsia="zh-CN"/>
        </w:rPr>
        <w:t>城乡居民人均可支配收入预计达到21300元，同比增长6.5%；</w:t>
      </w:r>
      <w:r>
        <w:rPr>
          <w:rFonts w:hint="eastAsia" w:ascii="仿宋_GB2312" w:hAnsi="仿宋_GB2312" w:eastAsia="仿宋_GB2312" w:cs="仿宋_GB2312"/>
          <w:color w:val="auto"/>
          <w:spacing w:val="0"/>
          <w:w w:val="100"/>
          <w:kern w:val="1"/>
          <w:sz w:val="32"/>
          <w:szCs w:val="32"/>
          <w:highlight w:val="none"/>
          <w:lang w:val="en-US" w:eastAsia="zh-CN"/>
        </w:rPr>
        <w:t>一般公共预算收入完成17.69亿元，同比增长3.3%；一般公共预算支出完成68亿元，同比增长0.6%；县域经济实力排名持续提升，迈入全省第一方阵。</w:t>
      </w:r>
    </w:p>
    <w:p w14:paraId="54E35419">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3" w:firstLineChars="200"/>
        <w:jc w:val="both"/>
        <w:textAlignment w:val="auto"/>
        <w:outlineLvl w:val="9"/>
        <w:rPr>
          <w:rFonts w:hint="eastAsia"/>
          <w:color w:val="auto"/>
          <w:sz w:val="32"/>
          <w:szCs w:val="32"/>
          <w:highlight w:val="none"/>
          <w:lang w:val="en-US" w:eastAsia="zh-CN"/>
        </w:rPr>
      </w:pPr>
      <w:r>
        <w:rPr>
          <w:rFonts w:hint="eastAsia"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t>一是控疫情稳经济，坚持项目为王。</w:t>
      </w:r>
      <w:r>
        <w:rPr>
          <w:rFonts w:hint="eastAsia" w:ascii="仿宋_GB2312" w:hAnsi="仿宋_GB2312" w:eastAsia="仿宋_GB2312" w:cs="仿宋_GB2312"/>
          <w:color w:val="auto"/>
          <w:spacing w:val="0"/>
          <w:w w:val="100"/>
          <w:kern w:val="1"/>
          <w:sz w:val="32"/>
          <w:szCs w:val="32"/>
          <w:highlight w:val="none"/>
          <w:lang w:val="en-US" w:eastAsia="zh-CN"/>
        </w:rPr>
        <w:t>坚决贯彻“疫情要防住、经济要稳住、发展要安全”重大要求，最大程度守护人民群众生命健康安全，保障县域经济健康发展。26个省市重点项目完成年度投资191.3亿元，占年度投资计划的166%。滚动开展“三个一批”项目47个，其中：泰燃智能科技、金丝猴食品产业园等项目完成签约；龙都电磁新材料、凯旺二期、瑞茂通植物蛋白、佛山新能源等项目推动迅速；168万吨热回收炼焦及配套项目、周钢专用码头一期、晶鑫生物聚酯网单丝等项目建成投产，我县在2022年全市项目观摩中两次取得先进位次。加快重大基础设施项目建设，濮新高速沈丘段建设迅速，</w:t>
      </w:r>
      <w:r>
        <w:rPr>
          <w:rFonts w:hint="eastAsia" w:ascii="仿宋_GB2312" w:hAnsi="仿宋_GB2312" w:eastAsia="仿宋_GB2312" w:cs="仿宋_GB2312"/>
          <w:color w:val="auto"/>
          <w:spacing w:val="0"/>
          <w:w w:val="100"/>
          <w:kern w:val="1"/>
          <w:sz w:val="32"/>
          <w:szCs w:val="32"/>
          <w:highlight w:val="none"/>
          <w:u w:val="none"/>
          <w:lang w:val="en-US" w:eastAsia="zh-CN"/>
        </w:rPr>
        <w:t>沈卢高速沈丘段开工建设</w:t>
      </w:r>
      <w:r>
        <w:rPr>
          <w:rFonts w:hint="eastAsia" w:ascii="仿宋_GB2312" w:hAnsi="仿宋_GB2312" w:eastAsia="仿宋_GB2312" w:cs="仿宋_GB2312"/>
          <w:color w:val="auto"/>
          <w:spacing w:val="0"/>
          <w:w w:val="100"/>
          <w:kern w:val="1"/>
          <w:sz w:val="32"/>
          <w:szCs w:val="32"/>
          <w:highlight w:val="none"/>
          <w:u w:val="none"/>
          <w:lang w:val="en" w:eastAsia="zh-CN"/>
        </w:rPr>
        <w:t>，</w:t>
      </w:r>
      <w:r>
        <w:rPr>
          <w:rFonts w:hint="eastAsia" w:ascii="仿宋_GB2312" w:hAnsi="仿宋_GB2312" w:eastAsia="仿宋_GB2312" w:cs="仿宋_GB2312"/>
          <w:color w:val="auto"/>
          <w:spacing w:val="0"/>
          <w:w w:val="100"/>
          <w:kern w:val="1"/>
          <w:sz w:val="32"/>
          <w:szCs w:val="32"/>
          <w:highlight w:val="none"/>
          <w:lang w:val="en-US" w:eastAsia="zh-CN"/>
        </w:rPr>
        <w:t>沙颍河航道升级枢纽工程基本竣工，G220线改扩建工程、槐莲路修复养护工程建成通车，G329线升级改造工程稳步推进，S211线改建工程、外环路工程即将开工</w:t>
      </w:r>
      <w:r>
        <w:rPr>
          <w:rFonts w:hint="eastAsia" w:ascii="仿宋_GB2312" w:hAnsi="仿宋_GB2312" w:eastAsia="仿宋_GB2312" w:cs="仿宋_GB2312"/>
          <w:color w:val="auto"/>
          <w:spacing w:val="0"/>
          <w:w w:val="100"/>
          <w:kern w:val="1"/>
          <w:sz w:val="32"/>
          <w:szCs w:val="32"/>
          <w:highlight w:val="none"/>
          <w:lang w:val="en" w:eastAsia="zh-CN"/>
        </w:rPr>
        <w:t>。</w:t>
      </w:r>
      <w:r>
        <w:rPr>
          <w:rFonts w:hint="eastAsia" w:ascii="仿宋_GB2312" w:hAnsi="仿宋_GB2312" w:eastAsia="仿宋_GB2312" w:cs="仿宋_GB2312"/>
          <w:color w:val="auto"/>
          <w:spacing w:val="0"/>
          <w:w w:val="100"/>
          <w:kern w:val="1"/>
          <w:sz w:val="32"/>
          <w:szCs w:val="32"/>
          <w:highlight w:val="none"/>
          <w:lang w:val="en-US" w:eastAsia="zh-CN"/>
        </w:rPr>
        <w:t>争取中央预算内投资资金6915万元，专项债券资金9.88亿元，中长期贷款、政策性开发性金融工具、设备购置更新改造贷款2.5亿元。</w:t>
      </w:r>
    </w:p>
    <w:p w14:paraId="126CA6C4">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val="0"/>
        <w:snapToGrid/>
        <w:spacing w:before="0" w:line="600" w:lineRule="exact"/>
        <w:ind w:left="0" w:leftChars="0" w:right="0" w:rightChars="0" w:firstLine="643" w:firstLineChars="200"/>
        <w:jc w:val="both"/>
        <w:textAlignment w:val="auto"/>
        <w:outlineLvl w:val="9"/>
        <w:rPr>
          <w:rFonts w:hint="eastAsia" w:ascii="仿宋_GB2312" w:hAnsi="仿宋_GB2312" w:eastAsia="仿宋_GB2312" w:cs="仿宋_GB2312"/>
          <w:color w:val="auto"/>
          <w:spacing w:val="0"/>
          <w:w w:val="100"/>
          <w:sz w:val="32"/>
          <w:szCs w:val="32"/>
          <w:highlight w:val="none"/>
          <w:lang w:val="en-US" w:eastAsia="zh-CN"/>
        </w:rPr>
      </w:pPr>
      <w:r>
        <w:rPr>
          <w:rFonts w:hint="eastAsia"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t>二是</w:t>
      </w:r>
      <w:r>
        <w:rPr>
          <w:rFonts w:hint="default"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t>瞄靶心释动能，打造创新高地。</w:t>
      </w:r>
      <w:r>
        <w:rPr>
          <w:rFonts w:hint="default" w:ascii="仿宋_GB2312" w:hAnsi="仿宋_GB2312" w:eastAsia="仿宋_GB2312" w:cs="仿宋_GB2312"/>
          <w:color w:val="auto"/>
          <w:spacing w:val="0"/>
          <w:w w:val="100"/>
          <w:kern w:val="1"/>
          <w:sz w:val="32"/>
          <w:szCs w:val="32"/>
          <w:highlight w:val="none"/>
          <w:lang w:val="en-US" w:eastAsia="zh-CN"/>
        </w:rPr>
        <w:t>深入开展</w:t>
      </w:r>
      <w:r>
        <w:rPr>
          <w:rFonts w:hint="eastAsia" w:ascii="仿宋_GB2312" w:hAnsi="仿宋_GB2312" w:eastAsia="仿宋_GB2312" w:cs="仿宋_GB2312"/>
          <w:color w:val="auto"/>
          <w:spacing w:val="0"/>
          <w:w w:val="100"/>
          <w:kern w:val="1"/>
          <w:sz w:val="32"/>
          <w:szCs w:val="32"/>
          <w:highlight w:val="none"/>
          <w:lang w:val="en-US" w:eastAsia="zh-CN"/>
        </w:rPr>
        <w:t>“</w:t>
      </w:r>
      <w:r>
        <w:rPr>
          <w:rFonts w:hint="default" w:ascii="仿宋_GB2312" w:hAnsi="仿宋_GB2312" w:eastAsia="仿宋_GB2312" w:cs="仿宋_GB2312"/>
          <w:color w:val="auto"/>
          <w:spacing w:val="0"/>
          <w:w w:val="100"/>
          <w:kern w:val="1"/>
          <w:sz w:val="32"/>
          <w:szCs w:val="32"/>
          <w:highlight w:val="none"/>
          <w:lang w:val="en-US" w:eastAsia="zh-CN"/>
        </w:rPr>
        <w:t>万人助万企</w:t>
      </w:r>
      <w:r>
        <w:rPr>
          <w:rFonts w:hint="eastAsia" w:ascii="仿宋_GB2312" w:hAnsi="仿宋_GB2312" w:eastAsia="仿宋_GB2312" w:cs="仿宋_GB2312"/>
          <w:color w:val="auto"/>
          <w:spacing w:val="0"/>
          <w:w w:val="100"/>
          <w:kern w:val="1"/>
          <w:sz w:val="32"/>
          <w:szCs w:val="32"/>
          <w:highlight w:val="none"/>
          <w:lang w:val="en-US" w:eastAsia="zh-CN"/>
        </w:rPr>
        <w:t>”</w:t>
      </w:r>
      <w:r>
        <w:rPr>
          <w:rFonts w:hint="default" w:ascii="仿宋_GB2312" w:hAnsi="仿宋_GB2312" w:eastAsia="仿宋_GB2312" w:cs="仿宋_GB2312"/>
          <w:color w:val="auto"/>
          <w:spacing w:val="0"/>
          <w:w w:val="100"/>
          <w:kern w:val="1"/>
          <w:sz w:val="32"/>
          <w:szCs w:val="32"/>
          <w:highlight w:val="none"/>
          <w:lang w:val="en-US" w:eastAsia="zh-CN"/>
        </w:rPr>
        <w:t>活动，</w:t>
      </w:r>
      <w:r>
        <w:rPr>
          <w:rFonts w:hint="eastAsia" w:ascii="仿宋_GB2312" w:hAnsi="仿宋_GB2312" w:eastAsia="仿宋_GB2312" w:cs="仿宋_GB2312"/>
          <w:color w:val="auto"/>
          <w:spacing w:val="0"/>
          <w:w w:val="100"/>
          <w:kern w:val="1"/>
          <w:sz w:val="32"/>
          <w:szCs w:val="32"/>
          <w:highlight w:val="none"/>
          <w:lang w:val="en-US" w:eastAsia="zh-CN"/>
        </w:rPr>
        <w:t>累计为企业解决问题12大类332个。128家企业开展产学研合作，累计投入资金2.5亿元。成功申报省级工程技术研究中心2家、市级产业研究院2家，建成市级重点实验室2家。认定</w:t>
      </w:r>
      <w:r>
        <w:rPr>
          <w:rFonts w:hint="default" w:ascii="仿宋_GB2312" w:hAnsi="仿宋_GB2312" w:eastAsia="仿宋_GB2312" w:cs="仿宋_GB2312"/>
          <w:color w:val="auto"/>
          <w:spacing w:val="0"/>
          <w:w w:val="100"/>
          <w:kern w:val="1"/>
          <w:sz w:val="32"/>
          <w:szCs w:val="32"/>
          <w:highlight w:val="none"/>
          <w:lang w:val="en-US" w:eastAsia="zh-CN"/>
        </w:rPr>
        <w:t>高新技术企业1</w:t>
      </w:r>
      <w:r>
        <w:rPr>
          <w:rFonts w:hint="eastAsia" w:ascii="仿宋_GB2312" w:hAnsi="仿宋_GB2312" w:eastAsia="仿宋_GB2312" w:cs="仿宋_GB2312"/>
          <w:color w:val="auto"/>
          <w:spacing w:val="0"/>
          <w:w w:val="100"/>
          <w:kern w:val="1"/>
          <w:sz w:val="32"/>
          <w:szCs w:val="32"/>
          <w:highlight w:val="none"/>
          <w:lang w:val="en-US" w:eastAsia="zh-CN"/>
        </w:rPr>
        <w:t>3</w:t>
      </w:r>
      <w:r>
        <w:rPr>
          <w:rFonts w:hint="default" w:ascii="仿宋_GB2312" w:hAnsi="仿宋_GB2312" w:eastAsia="仿宋_GB2312" w:cs="仿宋_GB2312"/>
          <w:color w:val="auto"/>
          <w:spacing w:val="0"/>
          <w:w w:val="100"/>
          <w:kern w:val="1"/>
          <w:sz w:val="32"/>
          <w:szCs w:val="32"/>
          <w:highlight w:val="none"/>
          <w:lang w:val="en-US" w:eastAsia="zh-CN"/>
        </w:rPr>
        <w:t>家</w:t>
      </w:r>
      <w:r>
        <w:rPr>
          <w:rFonts w:hint="eastAsia" w:ascii="仿宋_GB2312" w:hAnsi="仿宋_GB2312" w:eastAsia="仿宋_GB2312" w:cs="仿宋_GB2312"/>
          <w:color w:val="auto"/>
          <w:spacing w:val="0"/>
          <w:w w:val="100"/>
          <w:kern w:val="1"/>
          <w:sz w:val="32"/>
          <w:szCs w:val="32"/>
          <w:highlight w:val="none"/>
          <w:lang w:val="en-US" w:eastAsia="zh-CN"/>
        </w:rPr>
        <w:t>，建成</w:t>
      </w:r>
      <w:r>
        <w:rPr>
          <w:rFonts w:hint="default" w:ascii="仿宋_GB2312" w:hAnsi="仿宋_GB2312" w:eastAsia="仿宋_GB2312" w:cs="仿宋_GB2312"/>
          <w:color w:val="auto"/>
          <w:spacing w:val="0"/>
          <w:w w:val="100"/>
          <w:kern w:val="1"/>
          <w:sz w:val="32"/>
          <w:szCs w:val="32"/>
          <w:highlight w:val="none"/>
          <w:lang w:val="en-US" w:eastAsia="zh-CN"/>
        </w:rPr>
        <w:t>省级智能</w:t>
      </w:r>
      <w:r>
        <w:rPr>
          <w:rFonts w:hint="eastAsia" w:ascii="仿宋_GB2312" w:hAnsi="仿宋_GB2312" w:eastAsia="仿宋_GB2312" w:cs="仿宋_GB2312"/>
          <w:color w:val="auto"/>
          <w:spacing w:val="0"/>
          <w:w w:val="100"/>
          <w:kern w:val="1"/>
          <w:sz w:val="32"/>
          <w:szCs w:val="32"/>
          <w:highlight w:val="none"/>
          <w:lang w:val="en-US" w:eastAsia="zh-CN"/>
        </w:rPr>
        <w:t>工厂（车间）</w:t>
      </w:r>
      <w:r>
        <w:rPr>
          <w:rFonts w:hint="default" w:ascii="仿宋_GB2312" w:hAnsi="仿宋_GB2312" w:eastAsia="仿宋_GB2312" w:cs="仿宋_GB2312"/>
          <w:color w:val="auto"/>
          <w:spacing w:val="0"/>
          <w:w w:val="100"/>
          <w:kern w:val="1"/>
          <w:sz w:val="32"/>
          <w:szCs w:val="32"/>
          <w:highlight w:val="none"/>
          <w:lang w:val="en-US" w:eastAsia="zh-CN"/>
        </w:rPr>
        <w:t>4</w:t>
      </w:r>
      <w:r>
        <w:rPr>
          <w:rFonts w:hint="eastAsia" w:ascii="仿宋_GB2312" w:hAnsi="仿宋_GB2312" w:eastAsia="仿宋_GB2312" w:cs="仿宋_GB2312"/>
          <w:color w:val="auto"/>
          <w:spacing w:val="0"/>
          <w:w w:val="100"/>
          <w:kern w:val="1"/>
          <w:sz w:val="32"/>
          <w:szCs w:val="32"/>
          <w:highlight w:val="none"/>
          <w:lang w:val="en-US" w:eastAsia="zh-CN"/>
        </w:rPr>
        <w:t>家，培育孵化</w:t>
      </w:r>
      <w:r>
        <w:rPr>
          <w:rFonts w:hint="default" w:ascii="仿宋_GB2312" w:hAnsi="仿宋_GB2312" w:eastAsia="仿宋_GB2312" w:cs="仿宋_GB2312"/>
          <w:color w:val="auto"/>
          <w:spacing w:val="0"/>
          <w:w w:val="100"/>
          <w:kern w:val="1"/>
          <w:sz w:val="32"/>
          <w:szCs w:val="32"/>
          <w:highlight w:val="none"/>
          <w:lang w:val="en-US" w:eastAsia="zh-CN"/>
        </w:rPr>
        <w:t>科技型中小企业23家</w:t>
      </w:r>
      <w:r>
        <w:rPr>
          <w:rFonts w:hint="eastAsia" w:ascii="仿宋_GB2312" w:hAnsi="仿宋_GB2312" w:eastAsia="仿宋_GB2312" w:cs="仿宋_GB2312"/>
          <w:color w:val="auto"/>
          <w:spacing w:val="0"/>
          <w:w w:val="100"/>
          <w:kern w:val="1"/>
          <w:sz w:val="32"/>
          <w:szCs w:val="32"/>
          <w:highlight w:val="none"/>
          <w:lang w:val="en-US" w:eastAsia="zh-CN"/>
        </w:rPr>
        <w:t>。成功申报“专精特新”企业国家级1家、省级9家、市级3家，凯旺电子获得国家级“专精特新”小巨人和河南省“瞪羚”企业称号。四家企业列入省级上市后备企业，金丝猴食品、晶鑫科技上市进程有序推进。</w:t>
      </w:r>
    </w:p>
    <w:p w14:paraId="091A680A">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3" w:firstLineChars="200"/>
        <w:jc w:val="both"/>
        <w:textAlignment w:val="auto"/>
        <w:outlineLvl w:val="9"/>
        <w:rPr>
          <w:rFonts w:hint="eastAsia" w:ascii="Times New Roman" w:hAnsi="Times New Roman" w:eastAsia="方正仿宋_GBK" w:cs="方正仿宋_GBK"/>
          <w:b w:val="0"/>
          <w:color w:val="auto"/>
          <w:sz w:val="32"/>
          <w:szCs w:val="32"/>
          <w:highlight w:val="none"/>
          <w:lang w:val="en-US" w:eastAsia="zh-CN"/>
        </w:rPr>
      </w:pPr>
      <w:r>
        <w:rPr>
          <w:rFonts w:hint="eastAsia"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t>三是</w:t>
      </w:r>
      <w:r>
        <w:rPr>
          <w:rFonts w:hint="default"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t>提品质补短板，</w:t>
      </w:r>
      <w:r>
        <w:rPr>
          <w:rFonts w:hint="eastAsia"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t>加快城市建设</w:t>
      </w:r>
      <w:r>
        <w:rPr>
          <w:rFonts w:hint="default"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t>。</w:t>
      </w:r>
      <w:r>
        <w:rPr>
          <w:rFonts w:hint="eastAsia" w:ascii="仿宋_GB2312" w:hAnsi="仿宋_GB2312" w:eastAsia="仿宋_GB2312" w:cs="仿宋_GB2312"/>
          <w:color w:val="auto"/>
          <w:spacing w:val="0"/>
          <w:w w:val="100"/>
          <w:kern w:val="1"/>
          <w:sz w:val="32"/>
          <w:szCs w:val="32"/>
          <w:highlight w:val="none"/>
          <w:lang w:val="en-US" w:eastAsia="zh-CN"/>
        </w:rPr>
        <w:t>完成国家园林城市年度创建任务，通过省级文明城市复验。初心文化主题公园、千字文文化主题公园、中华民族共同体</w:t>
      </w:r>
      <w:r>
        <w:rPr>
          <w:rFonts w:hint="eastAsia" w:ascii="仿宋_GB2312" w:hAnsi="仿宋_GB2312" w:eastAsia="仿宋_GB2312" w:cs="仿宋_GB2312"/>
          <w:color w:val="000000" w:themeColor="text1"/>
          <w:spacing w:val="0"/>
          <w:w w:val="100"/>
          <w:kern w:val="1"/>
          <w:sz w:val="32"/>
          <w:szCs w:val="32"/>
          <w:highlight w:val="none"/>
          <w:lang w:val="en-US" w:eastAsia="zh-CN"/>
          <w14:textFill>
            <w14:solidFill>
              <w14:schemeClr w14:val="tx1"/>
            </w14:solidFill>
          </w14:textFill>
        </w:rPr>
        <w:t>主题文化</w:t>
      </w:r>
      <w:r>
        <w:rPr>
          <w:rFonts w:hint="eastAsia" w:ascii="仿宋_GB2312" w:hAnsi="仿宋_GB2312" w:eastAsia="仿宋_GB2312" w:cs="仿宋_GB2312"/>
          <w:color w:val="auto"/>
          <w:spacing w:val="0"/>
          <w:w w:val="100"/>
          <w:kern w:val="1"/>
          <w:sz w:val="32"/>
          <w:szCs w:val="32"/>
          <w:highlight w:val="none"/>
          <w:lang w:val="en-US" w:eastAsia="zh-CN"/>
        </w:rPr>
        <w:t>公园、梦翔植物园、体育公园、永基公园等相继开园，</w:t>
      </w:r>
      <w:r>
        <w:rPr>
          <w:rFonts w:hint="default" w:ascii="仿宋_GB2312" w:hAnsi="仿宋_GB2312" w:eastAsia="仿宋_GB2312" w:cs="仿宋_GB2312"/>
          <w:color w:val="auto"/>
          <w:spacing w:val="0"/>
          <w:w w:val="100"/>
          <w:kern w:val="1"/>
          <w:sz w:val="32"/>
          <w:szCs w:val="32"/>
          <w:highlight w:val="none"/>
          <w:lang w:val="en-US" w:eastAsia="zh-CN"/>
        </w:rPr>
        <w:t>建成</w:t>
      </w:r>
      <w:r>
        <w:rPr>
          <w:rFonts w:hint="eastAsia" w:ascii="仿宋_GB2312" w:hAnsi="仿宋_GB2312" w:eastAsia="仿宋_GB2312" w:cs="仿宋_GB2312"/>
          <w:color w:val="auto"/>
          <w:spacing w:val="0"/>
          <w:w w:val="100"/>
          <w:kern w:val="1"/>
          <w:sz w:val="32"/>
          <w:szCs w:val="32"/>
          <w:highlight w:val="none"/>
          <w:lang w:val="en-US" w:eastAsia="zh-CN"/>
        </w:rPr>
        <w:t>214</w:t>
      </w:r>
      <w:r>
        <w:rPr>
          <w:rFonts w:hint="default" w:ascii="仿宋_GB2312" w:hAnsi="仿宋_GB2312" w:eastAsia="仿宋_GB2312" w:cs="仿宋_GB2312"/>
          <w:color w:val="auto"/>
          <w:spacing w:val="0"/>
          <w:w w:val="100"/>
          <w:kern w:val="1"/>
          <w:sz w:val="32"/>
          <w:szCs w:val="32"/>
          <w:highlight w:val="none"/>
          <w:lang w:val="en-US" w:eastAsia="zh-CN"/>
        </w:rPr>
        <w:t>处口袋公园、微景观。</w:t>
      </w:r>
      <w:r>
        <w:rPr>
          <w:rFonts w:hint="eastAsia" w:ascii="仿宋_GB2312" w:hAnsi="仿宋_GB2312" w:eastAsia="仿宋_GB2312" w:cs="仿宋_GB2312"/>
          <w:color w:val="auto"/>
          <w:spacing w:val="0"/>
          <w:w w:val="100"/>
          <w:kern w:val="1"/>
          <w:sz w:val="32"/>
          <w:szCs w:val="32"/>
          <w:highlight w:val="none"/>
          <w:lang w:val="en-US" w:eastAsia="zh-CN"/>
        </w:rPr>
        <w:t>99</w:t>
      </w:r>
      <w:r>
        <w:rPr>
          <w:rFonts w:hint="default" w:ascii="仿宋_GB2312" w:hAnsi="仿宋_GB2312" w:eastAsia="仿宋_GB2312" w:cs="仿宋_GB2312"/>
          <w:color w:val="auto"/>
          <w:spacing w:val="0"/>
          <w:w w:val="100"/>
          <w:kern w:val="1"/>
          <w:sz w:val="32"/>
          <w:szCs w:val="32"/>
          <w:highlight w:val="none"/>
          <w:lang w:val="en-US" w:eastAsia="zh-CN"/>
        </w:rPr>
        <w:t>家机关</w:t>
      </w:r>
      <w:r>
        <w:rPr>
          <w:rFonts w:hint="eastAsia" w:ascii="仿宋_GB2312" w:hAnsi="仿宋_GB2312" w:eastAsia="仿宋_GB2312" w:cs="仿宋_GB2312"/>
          <w:color w:val="auto"/>
          <w:spacing w:val="0"/>
          <w:w w:val="100"/>
          <w:kern w:val="1"/>
          <w:sz w:val="32"/>
          <w:szCs w:val="32"/>
          <w:highlight w:val="none"/>
          <w:lang w:val="en-US" w:eastAsia="zh-CN"/>
        </w:rPr>
        <w:t>和企业拆墙透绿，</w:t>
      </w:r>
      <w:r>
        <w:rPr>
          <w:rFonts w:hint="default" w:ascii="仿宋_GB2312" w:hAnsi="仿宋_GB2312" w:eastAsia="仿宋_GB2312" w:cs="仿宋_GB2312"/>
          <w:color w:val="auto"/>
          <w:spacing w:val="0"/>
          <w:w w:val="100"/>
          <w:kern w:val="1"/>
          <w:sz w:val="32"/>
          <w:szCs w:val="32"/>
          <w:highlight w:val="none"/>
          <w:lang w:val="en-US" w:eastAsia="zh-CN"/>
        </w:rPr>
        <w:t>37条城市道路完成绿化</w:t>
      </w:r>
      <w:r>
        <w:rPr>
          <w:rFonts w:hint="eastAsia" w:ascii="仿宋_GB2312" w:hAnsi="仿宋_GB2312" w:eastAsia="仿宋_GB2312" w:cs="仿宋_GB2312"/>
          <w:color w:val="auto"/>
          <w:spacing w:val="0"/>
          <w:w w:val="100"/>
          <w:kern w:val="1"/>
          <w:sz w:val="32"/>
          <w:szCs w:val="32"/>
          <w:highlight w:val="none"/>
          <w:lang w:val="en-US" w:eastAsia="zh-CN"/>
        </w:rPr>
        <w:t>。新建11</w:t>
      </w:r>
      <w:r>
        <w:rPr>
          <w:rFonts w:hint="default" w:ascii="仿宋_GB2312" w:hAnsi="仿宋_GB2312" w:eastAsia="仿宋_GB2312" w:cs="仿宋_GB2312"/>
          <w:color w:val="auto"/>
          <w:spacing w:val="0"/>
          <w:w w:val="100"/>
          <w:kern w:val="1"/>
          <w:sz w:val="32"/>
          <w:szCs w:val="32"/>
          <w:highlight w:val="none"/>
          <w:lang w:val="en-US" w:eastAsia="zh-CN"/>
        </w:rPr>
        <w:t>座公厕</w:t>
      </w:r>
      <w:r>
        <w:rPr>
          <w:rFonts w:hint="eastAsia" w:ascii="仿宋_GB2312" w:hAnsi="仿宋_GB2312" w:eastAsia="仿宋_GB2312" w:cs="仿宋_GB2312"/>
          <w:color w:val="auto"/>
          <w:spacing w:val="0"/>
          <w:w w:val="100"/>
          <w:kern w:val="1"/>
          <w:sz w:val="32"/>
          <w:szCs w:val="32"/>
          <w:highlight w:val="none"/>
          <w:lang w:val="en-US" w:eastAsia="zh-CN"/>
        </w:rPr>
        <w:t>、</w:t>
      </w:r>
      <w:r>
        <w:rPr>
          <w:rFonts w:hint="default" w:ascii="仿宋_GB2312" w:hAnsi="仿宋_GB2312" w:eastAsia="仿宋_GB2312" w:cs="仿宋_GB2312"/>
          <w:color w:val="auto"/>
          <w:spacing w:val="0"/>
          <w:w w:val="100"/>
          <w:kern w:val="1"/>
          <w:sz w:val="32"/>
          <w:szCs w:val="32"/>
          <w:highlight w:val="none"/>
          <w:lang w:val="en-US" w:eastAsia="zh-CN"/>
        </w:rPr>
        <w:t>5处生态停车场</w:t>
      </w:r>
      <w:r>
        <w:rPr>
          <w:rFonts w:hint="eastAsia" w:ascii="仿宋_GB2312" w:hAnsi="仿宋_GB2312" w:eastAsia="仿宋_GB2312" w:cs="仿宋_GB2312"/>
          <w:color w:val="auto"/>
          <w:spacing w:val="0"/>
          <w:w w:val="100"/>
          <w:kern w:val="1"/>
          <w:sz w:val="32"/>
          <w:szCs w:val="32"/>
          <w:highlight w:val="none"/>
          <w:lang w:val="en-US" w:eastAsia="zh-CN"/>
        </w:rPr>
        <w:t>。升级改造20座垃圾中转站、47条背街小巷、2100多个窨井盖。</w:t>
      </w:r>
      <w:r>
        <w:rPr>
          <w:rFonts w:hint="default" w:ascii="仿宋_GB2312" w:hAnsi="仿宋_GB2312" w:eastAsia="仿宋_GB2312" w:cs="仿宋_GB2312"/>
          <w:color w:val="auto"/>
          <w:spacing w:val="0"/>
          <w:w w:val="100"/>
          <w:kern w:val="1"/>
          <w:sz w:val="32"/>
          <w:szCs w:val="32"/>
          <w:highlight w:val="none"/>
          <w:lang w:val="en-US" w:eastAsia="zh-CN"/>
        </w:rPr>
        <w:t>打通</w:t>
      </w:r>
      <w:r>
        <w:rPr>
          <w:rFonts w:hint="eastAsia" w:ascii="仿宋_GB2312" w:hAnsi="仿宋_GB2312" w:eastAsia="仿宋_GB2312" w:cs="仿宋_GB2312"/>
          <w:color w:val="auto"/>
          <w:spacing w:val="0"/>
          <w:w w:val="100"/>
          <w:kern w:val="1"/>
          <w:sz w:val="32"/>
          <w:szCs w:val="32"/>
          <w:highlight w:val="none"/>
          <w:lang w:val="en-US" w:eastAsia="zh-CN"/>
        </w:rPr>
        <w:t>4</w:t>
      </w:r>
      <w:r>
        <w:rPr>
          <w:rFonts w:hint="default" w:ascii="仿宋_GB2312" w:hAnsi="仿宋_GB2312" w:eastAsia="仿宋_GB2312" w:cs="仿宋_GB2312"/>
          <w:color w:val="auto"/>
          <w:spacing w:val="0"/>
          <w:w w:val="100"/>
          <w:kern w:val="1"/>
          <w:sz w:val="32"/>
          <w:szCs w:val="32"/>
          <w:highlight w:val="none"/>
          <w:lang w:val="en-US" w:eastAsia="zh-CN"/>
        </w:rPr>
        <w:t>条城</w:t>
      </w:r>
      <w:r>
        <w:rPr>
          <w:rFonts w:hint="eastAsia" w:ascii="仿宋_GB2312" w:hAnsi="仿宋_GB2312" w:eastAsia="仿宋_GB2312" w:cs="仿宋_GB2312"/>
          <w:color w:val="auto"/>
          <w:spacing w:val="0"/>
          <w:w w:val="100"/>
          <w:kern w:val="1"/>
          <w:sz w:val="32"/>
          <w:szCs w:val="32"/>
          <w:highlight w:val="none"/>
          <w:lang w:val="en-US" w:eastAsia="zh-CN"/>
        </w:rPr>
        <w:t>市</w:t>
      </w:r>
      <w:r>
        <w:rPr>
          <w:rFonts w:hint="default" w:ascii="仿宋_GB2312" w:hAnsi="仿宋_GB2312" w:eastAsia="仿宋_GB2312" w:cs="仿宋_GB2312"/>
          <w:color w:val="auto"/>
          <w:spacing w:val="0"/>
          <w:w w:val="100"/>
          <w:kern w:val="1"/>
          <w:sz w:val="32"/>
          <w:szCs w:val="32"/>
          <w:highlight w:val="none"/>
          <w:lang w:val="en-US" w:eastAsia="zh-CN"/>
        </w:rPr>
        <w:t>断头路</w:t>
      </w:r>
      <w:r>
        <w:rPr>
          <w:rFonts w:hint="eastAsia" w:ascii="仿宋_GB2312" w:hAnsi="仿宋_GB2312" w:eastAsia="仿宋_GB2312" w:cs="仿宋_GB2312"/>
          <w:color w:val="auto"/>
          <w:spacing w:val="0"/>
          <w:w w:val="100"/>
          <w:kern w:val="1"/>
          <w:sz w:val="32"/>
          <w:szCs w:val="32"/>
          <w:highlight w:val="none"/>
          <w:lang w:val="en-US" w:eastAsia="zh-CN"/>
        </w:rPr>
        <w:t>，施划停车位1.7万个。拆除“两违”建筑600余处10万平方米、违规广告牌4600余处，规范占道经营3700余处。高位谋划“高铁新城”“钢铁新城”。人民路大桥正式通车，城区三大出口改造施工顺利，规划建设连接周钢生产区和生活区沙河大桥，沈丘北站站前综合交通枢纽项目顺利推进，沙颍河生态景观带建设成效显著。商临路、</w:t>
      </w:r>
      <w:r>
        <w:rPr>
          <w:rFonts w:hint="default" w:ascii="仿宋_GB2312" w:hAnsi="仿宋_GB2312" w:eastAsia="仿宋_GB2312" w:cs="仿宋_GB2312"/>
          <w:color w:val="auto"/>
          <w:spacing w:val="0"/>
          <w:w w:val="100"/>
          <w:kern w:val="1"/>
          <w:sz w:val="32"/>
          <w:szCs w:val="32"/>
          <w:highlight w:val="none"/>
          <w:lang w:val="en-US" w:eastAsia="zh-CN"/>
        </w:rPr>
        <w:t>三里井二期</w:t>
      </w:r>
      <w:r>
        <w:rPr>
          <w:rFonts w:hint="eastAsia" w:ascii="仿宋_GB2312" w:hAnsi="仿宋_GB2312" w:eastAsia="仿宋_GB2312" w:cs="仿宋_GB2312"/>
          <w:color w:val="auto"/>
          <w:spacing w:val="0"/>
          <w:w w:val="100"/>
          <w:kern w:val="1"/>
          <w:sz w:val="32"/>
          <w:szCs w:val="32"/>
          <w:highlight w:val="none"/>
          <w:lang w:val="en-US" w:eastAsia="zh-CN"/>
        </w:rPr>
        <w:t>、贾寨棚户区陆续交付使用</w:t>
      </w:r>
      <w:r>
        <w:rPr>
          <w:rFonts w:hint="default" w:ascii="仿宋_GB2312" w:hAnsi="仿宋_GB2312" w:eastAsia="仿宋_GB2312" w:cs="仿宋_GB2312"/>
          <w:color w:val="auto"/>
          <w:spacing w:val="0"/>
          <w:w w:val="100"/>
          <w:kern w:val="1"/>
          <w:sz w:val="32"/>
          <w:szCs w:val="32"/>
          <w:highlight w:val="none"/>
          <w:lang w:val="en-US" w:eastAsia="zh-CN"/>
        </w:rPr>
        <w:t>，</w:t>
      </w:r>
      <w:r>
        <w:rPr>
          <w:rFonts w:hint="eastAsia" w:ascii="仿宋_GB2312" w:hAnsi="仿宋_GB2312" w:eastAsia="仿宋_GB2312" w:cs="仿宋_GB2312"/>
          <w:color w:val="000000" w:themeColor="text1"/>
          <w:spacing w:val="0"/>
          <w:w w:val="100"/>
          <w:kern w:val="1"/>
          <w:sz w:val="32"/>
          <w:szCs w:val="32"/>
          <w:highlight w:val="none"/>
          <w:lang w:val="en-US" w:eastAsia="zh-CN"/>
          <w14:textFill>
            <w14:solidFill>
              <w14:schemeClr w14:val="tx1"/>
            </w14:solidFill>
          </w14:textFill>
        </w:rPr>
        <w:t>小王楼、丰产河二期、槐莲路棚户区完成前期准备工作。</w:t>
      </w:r>
      <w:r>
        <w:rPr>
          <w:rFonts w:hint="eastAsia" w:ascii="仿宋_GB2312" w:hAnsi="仿宋_GB2312" w:eastAsia="仿宋_GB2312" w:cs="仿宋_GB2312"/>
          <w:color w:val="auto"/>
          <w:spacing w:val="0"/>
          <w:w w:val="100"/>
          <w:kern w:val="1"/>
          <w:sz w:val="32"/>
          <w:szCs w:val="32"/>
          <w:highlight w:val="none"/>
          <w:lang w:val="en-US" w:eastAsia="zh-CN"/>
        </w:rPr>
        <w:t>四</w:t>
      </w:r>
      <w:r>
        <w:rPr>
          <w:rFonts w:hint="default" w:ascii="仿宋_GB2312" w:hAnsi="仿宋_GB2312" w:eastAsia="仿宋_GB2312" w:cs="仿宋_GB2312"/>
          <w:color w:val="auto"/>
          <w:spacing w:val="0"/>
          <w:w w:val="100"/>
          <w:kern w:val="1"/>
          <w:sz w:val="32"/>
          <w:szCs w:val="32"/>
          <w:highlight w:val="none"/>
          <w:lang w:val="en-US" w:eastAsia="zh-CN"/>
        </w:rPr>
        <w:t>个</w:t>
      </w:r>
      <w:r>
        <w:rPr>
          <w:rFonts w:hint="eastAsia" w:ascii="仿宋_GB2312" w:hAnsi="仿宋_GB2312" w:eastAsia="仿宋_GB2312" w:cs="仿宋_GB2312"/>
          <w:color w:val="auto"/>
          <w:spacing w:val="0"/>
          <w:w w:val="100"/>
          <w:kern w:val="1"/>
          <w:sz w:val="32"/>
          <w:szCs w:val="32"/>
          <w:highlight w:val="none"/>
          <w:lang w:val="en-US" w:eastAsia="zh-CN"/>
        </w:rPr>
        <w:t>“</w:t>
      </w:r>
      <w:r>
        <w:rPr>
          <w:rFonts w:hint="default" w:ascii="仿宋_GB2312" w:hAnsi="仿宋_GB2312" w:eastAsia="仿宋_GB2312" w:cs="仿宋_GB2312"/>
          <w:color w:val="auto"/>
          <w:spacing w:val="0"/>
          <w:w w:val="100"/>
          <w:kern w:val="1"/>
          <w:sz w:val="32"/>
          <w:szCs w:val="32"/>
          <w:highlight w:val="none"/>
          <w:lang w:val="en-US" w:eastAsia="zh-CN"/>
        </w:rPr>
        <w:t>保交楼</w:t>
      </w:r>
      <w:r>
        <w:rPr>
          <w:rFonts w:hint="eastAsia" w:ascii="仿宋_GB2312" w:hAnsi="仿宋_GB2312" w:eastAsia="仿宋_GB2312" w:cs="仿宋_GB2312"/>
          <w:color w:val="auto"/>
          <w:spacing w:val="0"/>
          <w:w w:val="100"/>
          <w:kern w:val="1"/>
          <w:sz w:val="32"/>
          <w:szCs w:val="32"/>
          <w:highlight w:val="none"/>
          <w:lang w:val="en-US" w:eastAsia="zh-CN"/>
        </w:rPr>
        <w:t>”</w:t>
      </w:r>
      <w:r>
        <w:rPr>
          <w:rFonts w:hint="default" w:ascii="仿宋_GB2312" w:hAnsi="仿宋_GB2312" w:eastAsia="仿宋_GB2312" w:cs="仿宋_GB2312"/>
          <w:color w:val="auto"/>
          <w:spacing w:val="0"/>
          <w:w w:val="100"/>
          <w:kern w:val="1"/>
          <w:sz w:val="32"/>
          <w:szCs w:val="32"/>
          <w:highlight w:val="none"/>
          <w:lang w:val="en-US" w:eastAsia="zh-CN"/>
        </w:rPr>
        <w:t>问题楼盘全部复工</w:t>
      </w:r>
      <w:r>
        <w:rPr>
          <w:rFonts w:hint="eastAsia" w:ascii="仿宋_GB2312" w:hAnsi="仿宋_GB2312" w:eastAsia="仿宋_GB2312" w:cs="仿宋_GB2312"/>
          <w:color w:val="auto"/>
          <w:spacing w:val="0"/>
          <w:w w:val="100"/>
          <w:kern w:val="1"/>
          <w:sz w:val="32"/>
          <w:szCs w:val="32"/>
          <w:highlight w:val="none"/>
          <w:lang w:val="en-US" w:eastAsia="zh-CN"/>
        </w:rPr>
        <w:t>，</w:t>
      </w:r>
      <w:r>
        <w:rPr>
          <w:rFonts w:hint="eastAsia" w:ascii="仿宋_GB2312" w:hAnsi="仿宋_GB2312" w:eastAsia="仿宋_GB2312" w:cs="仿宋_GB2312"/>
          <w:color w:val="000000" w:themeColor="text1"/>
          <w:spacing w:val="0"/>
          <w:w w:val="100"/>
          <w:kern w:val="1"/>
          <w:sz w:val="32"/>
          <w:szCs w:val="32"/>
          <w:highlight w:val="none"/>
          <w:lang w:val="en-US" w:eastAsia="zh-CN"/>
          <w14:textFill>
            <w14:solidFill>
              <w14:schemeClr w14:val="tx1"/>
            </w14:solidFill>
          </w14:textFill>
        </w:rPr>
        <w:t>华丰新天地和奥兰未来城已逐步交房</w:t>
      </w:r>
      <w:r>
        <w:rPr>
          <w:rFonts w:hint="default" w:ascii="仿宋_GB2312" w:hAnsi="仿宋_GB2312" w:eastAsia="仿宋_GB2312" w:cs="仿宋_GB2312"/>
          <w:color w:val="000000" w:themeColor="text1"/>
          <w:spacing w:val="0"/>
          <w:w w:val="100"/>
          <w:kern w:val="1"/>
          <w:sz w:val="32"/>
          <w:szCs w:val="32"/>
          <w:highlight w:val="none"/>
          <w:lang w:eastAsia="zh-CN"/>
          <w14:textFill>
            <w14:solidFill>
              <w14:schemeClr w14:val="tx1"/>
            </w14:solidFill>
          </w14:textFill>
        </w:rPr>
        <w:t>。</w:t>
      </w:r>
    </w:p>
    <w:p w14:paraId="29A0709F">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3" w:firstLineChars="200"/>
        <w:jc w:val="both"/>
        <w:textAlignment w:val="auto"/>
        <w:outlineLvl w:val="9"/>
        <w:rPr>
          <w:rFonts w:hint="eastAsia" w:ascii="仿宋_GB2312" w:hAnsi="仿宋_GB2312" w:eastAsia="仿宋_GB2312" w:cs="仿宋_GB2312"/>
          <w:color w:val="auto"/>
          <w:spacing w:val="0"/>
          <w:w w:val="100"/>
          <w:kern w:val="1"/>
          <w:sz w:val="32"/>
          <w:szCs w:val="32"/>
          <w:highlight w:val="none"/>
          <w:lang w:val="en-US" w:eastAsia="zh-CN"/>
        </w:rPr>
      </w:pPr>
      <w:r>
        <w:rPr>
          <w:rFonts w:hint="eastAsia"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t>四是强农业夯基础，助力乡村振兴。</w:t>
      </w:r>
      <w:r>
        <w:rPr>
          <w:rFonts w:hint="eastAsia" w:ascii="仿宋_GB2312" w:hAnsi="仿宋_GB2312" w:eastAsia="仿宋_GB2312" w:cs="仿宋_GB2312"/>
          <w:color w:val="auto"/>
          <w:spacing w:val="0"/>
          <w:w w:val="100"/>
          <w:kern w:val="1"/>
          <w:sz w:val="32"/>
          <w:szCs w:val="32"/>
          <w:highlight w:val="none"/>
          <w:lang w:val="en-US" w:eastAsia="zh-CN"/>
        </w:rPr>
        <w:t>全年粮食总产量达到18亿斤以上，粮食种植面积稳定在200万亩以上。7.5万亩高标准农田示范区建设顺利。全国绿色食品原料（小麦）标准化生产基地通过农业农村部验收。荣获省级农产品质量安全县、河南省养牛大县培育县、河南省农业科技引领优势（肉羊）产业发展试点县。持续巩固“四好农村路”省级示范县创建成果。开展国土空间综合整治，累计整理4000亩土地增减挂钩指标，发放奖补资金1.4亿元，</w:t>
      </w:r>
      <w:r>
        <w:rPr>
          <w:rFonts w:hint="default" w:ascii="仿宋_GB2312" w:hAnsi="仿宋_GB2312" w:eastAsia="仿宋_GB2312" w:cs="仿宋_GB2312"/>
          <w:color w:val="auto"/>
          <w:spacing w:val="0"/>
          <w:w w:val="100"/>
          <w:kern w:val="1"/>
          <w:sz w:val="32"/>
          <w:szCs w:val="32"/>
          <w:highlight w:val="none"/>
          <w:lang w:val="en-US" w:eastAsia="zh-CN"/>
        </w:rPr>
        <w:t>被确定为</w:t>
      </w:r>
      <w:r>
        <w:rPr>
          <w:rFonts w:hint="eastAsia" w:ascii="仿宋_GB2312" w:hAnsi="仿宋_GB2312" w:eastAsia="仿宋_GB2312" w:cs="仿宋_GB2312"/>
          <w:color w:val="auto"/>
          <w:spacing w:val="0"/>
          <w:w w:val="100"/>
          <w:kern w:val="1"/>
          <w:sz w:val="32"/>
          <w:szCs w:val="32"/>
          <w:highlight w:val="none"/>
          <w:lang w:val="en-US" w:eastAsia="zh-CN"/>
        </w:rPr>
        <w:t>全国自然资源节约集约示范县、全国集体土地入市试点县。实施“三边四化五美”工程，开展农村人居环境整治月观摩，创建全国乡村治理示范村2个、省级千万工程示范村33个、省级“美丽小镇”1个，在全省农村人居环境集中整治中先后五次获得全市第一位、全省前二十位，被推荐为全国村庄清洁行动先进县。</w:t>
      </w:r>
      <w:r>
        <w:rPr>
          <w:rFonts w:hint="default" w:ascii="仿宋_GB2312" w:hAnsi="仿宋_GB2312" w:eastAsia="仿宋_GB2312" w:cs="仿宋_GB2312"/>
          <w:color w:val="auto"/>
          <w:spacing w:val="0"/>
          <w:w w:val="100"/>
          <w:kern w:val="1"/>
          <w:sz w:val="32"/>
          <w:szCs w:val="32"/>
          <w:highlight w:val="none"/>
          <w:lang w:val="en-US" w:eastAsia="zh-CN"/>
        </w:rPr>
        <w:t>持续巩固脱贫攻坚成果</w:t>
      </w:r>
      <w:r>
        <w:rPr>
          <w:rFonts w:hint="eastAsia" w:ascii="仿宋_GB2312" w:hAnsi="仿宋_GB2312" w:eastAsia="仿宋_GB2312" w:cs="仿宋_GB2312"/>
          <w:color w:val="auto"/>
          <w:spacing w:val="0"/>
          <w:w w:val="100"/>
          <w:kern w:val="1"/>
          <w:sz w:val="32"/>
          <w:szCs w:val="32"/>
          <w:highlight w:val="none"/>
          <w:lang w:val="en-US" w:eastAsia="zh-CN"/>
        </w:rPr>
        <w:t>，守住了不发生规模性返贫底线。</w:t>
      </w:r>
    </w:p>
    <w:p w14:paraId="235CF765">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3" w:firstLineChars="200"/>
        <w:jc w:val="both"/>
        <w:textAlignment w:val="auto"/>
        <w:outlineLvl w:val="9"/>
        <w:rPr>
          <w:rFonts w:hint="eastAsia" w:ascii="仿宋_GB2312" w:hAnsi="仿宋_GB2312" w:eastAsia="仿宋_GB2312" w:cs="仿宋_GB2312"/>
          <w:color w:val="auto"/>
          <w:spacing w:val="0"/>
          <w:w w:val="100"/>
          <w:sz w:val="32"/>
          <w:szCs w:val="32"/>
          <w:highlight w:val="none"/>
          <w:lang w:val="en-US" w:eastAsia="zh-CN"/>
        </w:rPr>
      </w:pPr>
      <w:r>
        <w:rPr>
          <w:rFonts w:hint="eastAsia"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t>五是</w:t>
      </w:r>
      <w:r>
        <w:rPr>
          <w:rFonts w:hint="default"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t>促改革优环境，加强社会治理。</w:t>
      </w:r>
      <w:r>
        <w:rPr>
          <w:rFonts w:hint="default" w:ascii="仿宋_GB2312" w:hAnsi="仿宋_GB2312" w:eastAsia="仿宋_GB2312" w:cs="仿宋_GB2312"/>
          <w:color w:val="auto"/>
          <w:spacing w:val="0"/>
          <w:w w:val="100"/>
          <w:kern w:val="1"/>
          <w:sz w:val="32"/>
          <w:szCs w:val="32"/>
          <w:highlight w:val="none"/>
          <w:lang w:val="en-US" w:eastAsia="zh-CN"/>
        </w:rPr>
        <w:t>着力打造</w:t>
      </w:r>
      <w:r>
        <w:rPr>
          <w:rFonts w:hint="eastAsia" w:ascii="仿宋_GB2312" w:hAnsi="仿宋_GB2312" w:eastAsia="仿宋_GB2312" w:cs="仿宋_GB2312"/>
          <w:color w:val="auto"/>
          <w:spacing w:val="0"/>
          <w:w w:val="100"/>
          <w:kern w:val="1"/>
          <w:sz w:val="32"/>
          <w:szCs w:val="32"/>
          <w:highlight w:val="none"/>
          <w:lang w:val="en-US" w:eastAsia="zh-CN"/>
        </w:rPr>
        <w:t>“</w:t>
      </w:r>
      <w:r>
        <w:rPr>
          <w:rFonts w:hint="default" w:ascii="仿宋_GB2312" w:hAnsi="仿宋_GB2312" w:eastAsia="仿宋_GB2312" w:cs="仿宋_GB2312"/>
          <w:color w:val="auto"/>
          <w:spacing w:val="0"/>
          <w:w w:val="100"/>
          <w:kern w:val="1"/>
          <w:sz w:val="32"/>
          <w:szCs w:val="32"/>
          <w:highlight w:val="none"/>
          <w:lang w:val="en-US" w:eastAsia="zh-CN"/>
        </w:rPr>
        <w:t>亲</w:t>
      </w:r>
      <w:r>
        <w:rPr>
          <w:rFonts w:hint="eastAsia" w:ascii="仿宋_GB2312" w:hAnsi="仿宋_GB2312" w:eastAsia="仿宋_GB2312" w:cs="仿宋_GB2312"/>
          <w:color w:val="auto"/>
          <w:spacing w:val="0"/>
          <w:w w:val="100"/>
          <w:kern w:val="1"/>
          <w:sz w:val="32"/>
          <w:szCs w:val="32"/>
          <w:highlight w:val="none"/>
          <w:lang w:val="en-US" w:eastAsia="zh-CN"/>
        </w:rPr>
        <w:t>”“</w:t>
      </w:r>
      <w:r>
        <w:rPr>
          <w:rFonts w:hint="default" w:ascii="仿宋_GB2312" w:hAnsi="仿宋_GB2312" w:eastAsia="仿宋_GB2312" w:cs="仿宋_GB2312"/>
          <w:color w:val="auto"/>
          <w:spacing w:val="0"/>
          <w:w w:val="100"/>
          <w:kern w:val="1"/>
          <w:sz w:val="32"/>
          <w:szCs w:val="32"/>
          <w:highlight w:val="none"/>
          <w:lang w:val="en-US" w:eastAsia="zh-CN"/>
        </w:rPr>
        <w:t>清</w:t>
      </w:r>
      <w:r>
        <w:rPr>
          <w:rFonts w:hint="eastAsia" w:ascii="仿宋_GB2312" w:hAnsi="仿宋_GB2312" w:eastAsia="仿宋_GB2312" w:cs="仿宋_GB2312"/>
          <w:color w:val="auto"/>
          <w:spacing w:val="0"/>
          <w:w w:val="100"/>
          <w:kern w:val="1"/>
          <w:sz w:val="32"/>
          <w:szCs w:val="32"/>
          <w:highlight w:val="none"/>
          <w:lang w:val="en-US" w:eastAsia="zh-CN"/>
        </w:rPr>
        <w:t>”</w:t>
      </w:r>
      <w:r>
        <w:rPr>
          <w:rFonts w:hint="default" w:ascii="仿宋_GB2312" w:hAnsi="仿宋_GB2312" w:eastAsia="仿宋_GB2312" w:cs="仿宋_GB2312"/>
          <w:color w:val="auto"/>
          <w:spacing w:val="0"/>
          <w:w w:val="100"/>
          <w:kern w:val="1"/>
          <w:sz w:val="32"/>
          <w:szCs w:val="32"/>
          <w:highlight w:val="none"/>
          <w:lang w:val="en-US" w:eastAsia="zh-CN"/>
        </w:rPr>
        <w:t>政商关系，营商环境排名</w:t>
      </w:r>
      <w:r>
        <w:rPr>
          <w:rFonts w:hint="eastAsia" w:ascii="仿宋_GB2312" w:hAnsi="仿宋_GB2312" w:eastAsia="仿宋_GB2312" w:cs="仿宋_GB2312"/>
          <w:color w:val="auto"/>
          <w:spacing w:val="0"/>
          <w:w w:val="100"/>
          <w:kern w:val="1"/>
          <w:sz w:val="32"/>
          <w:szCs w:val="32"/>
          <w:highlight w:val="none"/>
          <w:lang w:val="en-US" w:eastAsia="zh-CN"/>
        </w:rPr>
        <w:t>在全省前进</w:t>
      </w:r>
      <w:r>
        <w:rPr>
          <w:rFonts w:hint="default" w:ascii="仿宋_GB2312" w:hAnsi="仿宋_GB2312" w:eastAsia="仿宋_GB2312" w:cs="仿宋_GB2312"/>
          <w:color w:val="auto"/>
          <w:spacing w:val="0"/>
          <w:w w:val="100"/>
          <w:kern w:val="1"/>
          <w:sz w:val="32"/>
          <w:szCs w:val="32"/>
          <w:highlight w:val="none"/>
          <w:lang w:val="en-US" w:eastAsia="zh-CN"/>
        </w:rPr>
        <w:t>20个位次。</w:t>
      </w:r>
      <w:r>
        <w:rPr>
          <w:rFonts w:hint="eastAsia" w:ascii="仿宋_GB2312" w:hAnsi="仿宋_GB2312" w:eastAsia="仿宋_GB2312" w:cs="仿宋_GB2312"/>
          <w:color w:val="auto"/>
          <w:spacing w:val="0"/>
          <w:w w:val="100"/>
          <w:kern w:val="1"/>
          <w:sz w:val="32"/>
          <w:szCs w:val="32"/>
          <w:highlight w:val="none"/>
          <w:lang w:val="en-US" w:eastAsia="zh-CN"/>
        </w:rPr>
        <w:t>府院联动工作取得积极成效，行政机关负责人出庭应诉率达93.75%，市交办六件涉党政机关案件全部落实到位，</w:t>
      </w:r>
      <w:r>
        <w:rPr>
          <w:rFonts w:hint="eastAsia" w:ascii="仿宋_GB2312" w:hAnsi="仿宋_GB2312" w:eastAsia="仿宋_GB2312" w:cs="仿宋_GB2312"/>
          <w:color w:val="000000" w:themeColor="text1"/>
          <w:spacing w:val="0"/>
          <w:w w:val="100"/>
          <w:kern w:val="1"/>
          <w:sz w:val="32"/>
          <w:szCs w:val="32"/>
          <w:highlight w:val="none"/>
          <w:lang w:val="en-US" w:eastAsia="zh-CN"/>
          <w14:textFill>
            <w14:solidFill>
              <w14:schemeClr w14:val="tx1"/>
            </w14:solidFill>
          </w14:textFill>
        </w:rPr>
        <w:t>其中：</w:t>
      </w:r>
      <w:r>
        <w:rPr>
          <w:rFonts w:hint="eastAsia" w:ascii="仿宋_GB2312" w:hAnsi="仿宋_GB2312" w:eastAsia="仿宋_GB2312" w:cs="仿宋_GB2312"/>
          <w:color w:val="auto"/>
          <w:spacing w:val="0"/>
          <w:w w:val="100"/>
          <w:kern w:val="1"/>
          <w:sz w:val="32"/>
          <w:szCs w:val="32"/>
          <w:highlight w:val="none"/>
          <w:lang w:val="en-US" w:eastAsia="zh-CN"/>
        </w:rPr>
        <w:t>河南地弘置业有限公司破产案件通过“预重整+重整”机制顺利办结。</w:t>
      </w:r>
      <w:r>
        <w:rPr>
          <w:rFonts w:hint="default" w:ascii="仿宋_GB2312" w:hAnsi="仿宋_GB2312" w:eastAsia="仿宋_GB2312" w:cs="仿宋_GB2312"/>
          <w:color w:val="auto"/>
          <w:spacing w:val="0"/>
          <w:w w:val="100"/>
          <w:kern w:val="1"/>
          <w:sz w:val="32"/>
          <w:szCs w:val="32"/>
          <w:highlight w:val="none"/>
          <w:lang w:val="en-US" w:eastAsia="zh-CN"/>
        </w:rPr>
        <w:t>推进</w:t>
      </w:r>
      <w:r>
        <w:rPr>
          <w:rFonts w:hint="eastAsia" w:ascii="仿宋_GB2312" w:hAnsi="仿宋_GB2312" w:eastAsia="仿宋_GB2312" w:cs="仿宋_GB2312"/>
          <w:color w:val="auto"/>
          <w:spacing w:val="0"/>
          <w:w w:val="100"/>
          <w:kern w:val="1"/>
          <w:sz w:val="32"/>
          <w:szCs w:val="32"/>
          <w:highlight w:val="none"/>
          <w:lang w:val="en-US" w:eastAsia="zh-CN"/>
        </w:rPr>
        <w:t>农村生活</w:t>
      </w:r>
      <w:r>
        <w:rPr>
          <w:rFonts w:hint="default" w:ascii="仿宋_GB2312" w:hAnsi="仿宋_GB2312" w:eastAsia="仿宋_GB2312" w:cs="仿宋_GB2312"/>
          <w:color w:val="auto"/>
          <w:spacing w:val="0"/>
          <w:w w:val="100"/>
          <w:kern w:val="1"/>
          <w:sz w:val="32"/>
          <w:szCs w:val="32"/>
          <w:highlight w:val="none"/>
          <w:lang w:val="en-US" w:eastAsia="zh-CN"/>
        </w:rPr>
        <w:t>垃圾综合改革</w:t>
      </w:r>
      <w:r>
        <w:rPr>
          <w:rFonts w:hint="eastAsia" w:ascii="仿宋_GB2312" w:hAnsi="仿宋_GB2312" w:eastAsia="仿宋_GB2312" w:cs="仿宋_GB2312"/>
          <w:color w:val="auto"/>
          <w:spacing w:val="0"/>
          <w:w w:val="100"/>
          <w:kern w:val="1"/>
          <w:sz w:val="32"/>
          <w:szCs w:val="32"/>
          <w:highlight w:val="none"/>
          <w:lang w:val="en-US" w:eastAsia="zh-CN"/>
        </w:rPr>
        <w:t>，</w:t>
      </w:r>
      <w:r>
        <w:rPr>
          <w:rFonts w:hint="default" w:ascii="仿宋_GB2312" w:hAnsi="仿宋_GB2312" w:eastAsia="仿宋_GB2312" w:cs="仿宋_GB2312"/>
          <w:color w:val="auto"/>
          <w:spacing w:val="0"/>
          <w:w w:val="100"/>
          <w:kern w:val="1"/>
          <w:sz w:val="32"/>
          <w:szCs w:val="32"/>
          <w:highlight w:val="none"/>
          <w:lang w:val="en-US" w:eastAsia="zh-CN"/>
        </w:rPr>
        <w:t>垃圾分类收集转运率、农户垃圾付费率均达100%。</w:t>
      </w:r>
      <w:r>
        <w:rPr>
          <w:rFonts w:hint="eastAsia" w:ascii="仿宋_GB2312" w:hAnsi="仿宋_GB2312" w:eastAsia="仿宋_GB2312" w:cs="仿宋_GB2312"/>
          <w:color w:val="auto"/>
          <w:spacing w:val="0"/>
          <w:w w:val="100"/>
          <w:kern w:val="1"/>
          <w:sz w:val="32"/>
          <w:szCs w:val="32"/>
          <w:highlight w:val="none"/>
          <w:lang w:val="en-US" w:eastAsia="zh-CN"/>
        </w:rPr>
        <w:t>高质量完成</w:t>
      </w:r>
      <w:r>
        <w:rPr>
          <w:rFonts w:hint="default" w:ascii="仿宋_GB2312" w:hAnsi="仿宋_GB2312" w:eastAsia="仿宋_GB2312" w:cs="仿宋_GB2312"/>
          <w:color w:val="auto"/>
          <w:spacing w:val="0"/>
          <w:w w:val="100"/>
          <w:kern w:val="1"/>
          <w:sz w:val="32"/>
          <w:szCs w:val="32"/>
          <w:highlight w:val="none"/>
          <w:lang w:val="en-US" w:eastAsia="zh-CN"/>
        </w:rPr>
        <w:t>开发区改革</w:t>
      </w:r>
      <w:r>
        <w:rPr>
          <w:rFonts w:hint="eastAsia" w:ascii="仿宋_GB2312" w:hAnsi="仿宋_GB2312" w:eastAsia="仿宋_GB2312" w:cs="仿宋_GB2312"/>
          <w:color w:val="auto"/>
          <w:spacing w:val="0"/>
          <w:w w:val="100"/>
          <w:kern w:val="1"/>
          <w:sz w:val="32"/>
          <w:szCs w:val="32"/>
          <w:highlight w:val="none"/>
          <w:lang w:val="en-US" w:eastAsia="zh-CN"/>
        </w:rPr>
        <w:t>和乡镇管理体制机制改革。稳妥推动事业单位重塑性改革。持续深化县域医疗体制改革</w:t>
      </w:r>
      <w:r>
        <w:rPr>
          <w:rFonts w:hint="default" w:ascii="仿宋_GB2312" w:hAnsi="仿宋_GB2312" w:eastAsia="仿宋_GB2312" w:cs="仿宋_GB2312"/>
          <w:color w:val="auto"/>
          <w:spacing w:val="0"/>
          <w:w w:val="100"/>
          <w:kern w:val="1"/>
          <w:sz w:val="32"/>
          <w:szCs w:val="32"/>
          <w:highlight w:val="none"/>
          <w:lang w:val="en-US" w:eastAsia="zh-CN"/>
        </w:rPr>
        <w:t>，县外转诊率</w:t>
      </w:r>
      <w:r>
        <w:rPr>
          <w:rFonts w:hint="eastAsia" w:ascii="仿宋_GB2312" w:hAnsi="仿宋_GB2312" w:eastAsia="仿宋_GB2312" w:cs="仿宋_GB2312"/>
          <w:color w:val="auto"/>
          <w:spacing w:val="0"/>
          <w:w w:val="100"/>
          <w:kern w:val="1"/>
          <w:sz w:val="32"/>
          <w:szCs w:val="32"/>
          <w:highlight w:val="none"/>
          <w:lang w:val="en-US" w:eastAsia="zh-CN"/>
        </w:rPr>
        <w:t>同比</w:t>
      </w:r>
      <w:r>
        <w:rPr>
          <w:rFonts w:hint="default" w:ascii="仿宋_GB2312" w:hAnsi="仿宋_GB2312" w:eastAsia="仿宋_GB2312" w:cs="仿宋_GB2312"/>
          <w:color w:val="auto"/>
          <w:spacing w:val="0"/>
          <w:w w:val="100"/>
          <w:kern w:val="1"/>
          <w:sz w:val="32"/>
          <w:szCs w:val="32"/>
          <w:highlight w:val="none"/>
          <w:lang w:val="en-US" w:eastAsia="zh-CN"/>
        </w:rPr>
        <w:t>下降49%，</w:t>
      </w:r>
      <w:r>
        <w:rPr>
          <w:rFonts w:hint="eastAsia" w:ascii="仿宋_GB2312" w:hAnsi="仿宋_GB2312" w:eastAsia="仿宋_GB2312" w:cs="仿宋_GB2312"/>
          <w:color w:val="auto"/>
          <w:spacing w:val="0"/>
          <w:w w:val="100"/>
          <w:kern w:val="1"/>
          <w:sz w:val="32"/>
          <w:szCs w:val="32"/>
          <w:highlight w:val="none"/>
          <w:lang w:val="en-US" w:eastAsia="zh-CN"/>
        </w:rPr>
        <w:t>被评为全省医共体信息化建设示范县。持续优化政务服务，“互联网+监管”数据录入覆盖率100%，居全市第一位。全年减免退缓各项税费4.29亿元。国投、城投完成国有企业改制，市场主体等级逐步提高，融资能力显著提升。新成立农投公司，资产注入11.4亿元。</w:t>
      </w:r>
    </w:p>
    <w:p w14:paraId="34D37B69">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3" w:firstLineChars="200"/>
        <w:jc w:val="both"/>
        <w:textAlignment w:val="auto"/>
        <w:outlineLvl w:val="9"/>
        <w:rPr>
          <w:rFonts w:hint="eastAsia" w:ascii="仿宋_GB2312" w:hAnsi="仿宋_GB2312" w:eastAsia="仿宋_GB2312" w:cs="仿宋_GB2312"/>
          <w:color w:val="auto"/>
          <w:spacing w:val="0"/>
          <w:w w:val="100"/>
          <w:sz w:val="32"/>
          <w:szCs w:val="32"/>
          <w:highlight w:val="none"/>
          <w:lang w:val="en-US" w:eastAsia="zh-CN"/>
        </w:rPr>
      </w:pPr>
      <w:r>
        <w:rPr>
          <w:rFonts w:hint="eastAsia"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t>六是</w:t>
      </w:r>
      <w:r>
        <w:rPr>
          <w:rFonts w:hint="default"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t>治污染倡低碳，保护生态环境</w:t>
      </w:r>
      <w:r>
        <w:rPr>
          <w:rFonts w:hint="eastAsia"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t>。</w:t>
      </w:r>
      <w:r>
        <w:rPr>
          <w:rFonts w:hint="default" w:ascii="仿宋_GB2312" w:hAnsi="仿宋_GB2312" w:eastAsia="仿宋_GB2312" w:cs="仿宋_GB2312"/>
          <w:color w:val="auto"/>
          <w:spacing w:val="0"/>
          <w:w w:val="100"/>
          <w:kern w:val="1"/>
          <w:sz w:val="32"/>
          <w:szCs w:val="32"/>
          <w:highlight w:val="none"/>
          <w:lang w:val="en-US" w:eastAsia="zh-CN"/>
        </w:rPr>
        <w:t>全年</w:t>
      </w:r>
      <w:r>
        <w:rPr>
          <w:rFonts w:hint="eastAsia" w:ascii="仿宋_GB2312" w:hAnsi="仿宋_GB2312" w:eastAsia="仿宋_GB2312" w:cs="仿宋_GB2312"/>
          <w:color w:val="auto"/>
          <w:spacing w:val="0"/>
          <w:w w:val="100"/>
          <w:kern w:val="1"/>
          <w:sz w:val="32"/>
          <w:szCs w:val="32"/>
          <w:highlight w:val="none"/>
          <w:lang w:val="en-US" w:eastAsia="zh-CN"/>
        </w:rPr>
        <w:t>五</w:t>
      </w:r>
      <w:r>
        <w:rPr>
          <w:rFonts w:hint="default" w:ascii="仿宋_GB2312" w:hAnsi="仿宋_GB2312" w:eastAsia="仿宋_GB2312" w:cs="仿宋_GB2312"/>
          <w:color w:val="auto"/>
          <w:spacing w:val="0"/>
          <w:w w:val="100"/>
          <w:kern w:val="1"/>
          <w:sz w:val="32"/>
          <w:szCs w:val="32"/>
          <w:highlight w:val="none"/>
          <w:lang w:val="en-US" w:eastAsia="zh-CN"/>
        </w:rPr>
        <w:t>个月空气质量排名居全省前二十位；PM10年均浓度为74微克/立方米，居全市第三位；PM2.5年均浓度为46微克/立方米，居全市第二位；优良天数</w:t>
      </w:r>
      <w:r>
        <w:rPr>
          <w:rFonts w:hint="eastAsia" w:ascii="仿宋_GB2312" w:hAnsi="仿宋_GB2312" w:eastAsia="仿宋_GB2312" w:cs="仿宋_GB2312"/>
          <w:color w:val="auto"/>
          <w:spacing w:val="0"/>
          <w:w w:val="100"/>
          <w:kern w:val="1"/>
          <w:sz w:val="32"/>
          <w:szCs w:val="32"/>
          <w:highlight w:val="none"/>
          <w:lang w:val="en-US" w:eastAsia="zh-CN"/>
        </w:rPr>
        <w:t>达到</w:t>
      </w:r>
      <w:r>
        <w:rPr>
          <w:rFonts w:hint="default" w:ascii="仿宋_GB2312" w:hAnsi="仿宋_GB2312" w:eastAsia="仿宋_GB2312" w:cs="仿宋_GB2312"/>
          <w:color w:val="auto"/>
          <w:spacing w:val="0"/>
          <w:w w:val="100"/>
          <w:kern w:val="1"/>
          <w:sz w:val="32"/>
          <w:szCs w:val="32"/>
          <w:highlight w:val="none"/>
          <w:lang w:val="en-US" w:eastAsia="zh-CN"/>
        </w:rPr>
        <w:t>256天。</w:t>
      </w:r>
      <w:r>
        <w:rPr>
          <w:rFonts w:hint="eastAsia" w:ascii="仿宋_GB2312" w:hAnsi="仿宋_GB2312" w:eastAsia="仿宋_GB2312" w:cs="仿宋_GB2312"/>
          <w:color w:val="auto"/>
          <w:spacing w:val="0"/>
          <w:w w:val="100"/>
          <w:kern w:val="1"/>
          <w:sz w:val="32"/>
          <w:szCs w:val="32"/>
          <w:highlight w:val="none"/>
          <w:lang w:val="en-US" w:eastAsia="zh-CN"/>
        </w:rPr>
        <w:t>水质</w:t>
      </w:r>
      <w:r>
        <w:rPr>
          <w:rFonts w:hint="default" w:ascii="仿宋_GB2312" w:hAnsi="仿宋_GB2312" w:eastAsia="仿宋_GB2312" w:cs="仿宋_GB2312"/>
          <w:color w:val="auto"/>
          <w:spacing w:val="0"/>
          <w:w w:val="100"/>
          <w:kern w:val="1"/>
          <w:sz w:val="32"/>
          <w:szCs w:val="32"/>
          <w:highlight w:val="none"/>
          <w:lang w:val="en-US" w:eastAsia="zh-CN"/>
        </w:rPr>
        <w:t>考核断面达标率</w:t>
      </w:r>
      <w:r>
        <w:rPr>
          <w:rFonts w:hint="eastAsia" w:ascii="仿宋_GB2312" w:hAnsi="仿宋_GB2312" w:eastAsia="仿宋_GB2312" w:cs="仿宋_GB2312"/>
          <w:color w:val="auto"/>
          <w:spacing w:val="0"/>
          <w:w w:val="100"/>
          <w:kern w:val="1"/>
          <w:sz w:val="32"/>
          <w:szCs w:val="32"/>
          <w:highlight w:val="none"/>
          <w:lang w:val="en-US" w:eastAsia="zh-CN"/>
        </w:rPr>
        <w:t>96</w:t>
      </w:r>
      <w:r>
        <w:rPr>
          <w:rFonts w:hint="default" w:ascii="仿宋_GB2312" w:hAnsi="仿宋_GB2312" w:eastAsia="仿宋_GB2312" w:cs="仿宋_GB2312"/>
          <w:color w:val="auto"/>
          <w:spacing w:val="0"/>
          <w:w w:val="100"/>
          <w:kern w:val="1"/>
          <w:sz w:val="32"/>
          <w:szCs w:val="32"/>
          <w:highlight w:val="none"/>
          <w:lang w:val="en-US" w:eastAsia="zh-CN"/>
        </w:rPr>
        <w:t>%</w:t>
      </w:r>
      <w:r>
        <w:rPr>
          <w:rFonts w:hint="eastAsia" w:ascii="仿宋_GB2312" w:hAnsi="仿宋_GB2312" w:eastAsia="仿宋_GB2312" w:cs="仿宋_GB2312"/>
          <w:color w:val="auto"/>
          <w:spacing w:val="0"/>
          <w:w w:val="100"/>
          <w:kern w:val="1"/>
          <w:sz w:val="32"/>
          <w:szCs w:val="32"/>
          <w:highlight w:val="none"/>
          <w:lang w:val="en-US" w:eastAsia="zh-CN"/>
        </w:rPr>
        <w:t>，</w:t>
      </w:r>
      <w:r>
        <w:rPr>
          <w:rFonts w:hint="default" w:ascii="仿宋_GB2312" w:hAnsi="仿宋_GB2312" w:eastAsia="仿宋_GB2312" w:cs="仿宋_GB2312"/>
          <w:color w:val="auto"/>
          <w:spacing w:val="0"/>
          <w:w w:val="100"/>
          <w:kern w:val="1"/>
          <w:sz w:val="32"/>
          <w:szCs w:val="32"/>
          <w:highlight w:val="none"/>
          <w:lang w:val="en-US" w:eastAsia="zh-CN"/>
        </w:rPr>
        <w:t>集中式饮用水源水质</w:t>
      </w:r>
      <w:r>
        <w:rPr>
          <w:rFonts w:hint="eastAsia" w:ascii="仿宋_GB2312" w:hAnsi="仿宋_GB2312" w:eastAsia="仿宋_GB2312" w:cs="仿宋_GB2312"/>
          <w:color w:val="auto"/>
          <w:spacing w:val="0"/>
          <w:w w:val="100"/>
          <w:kern w:val="1"/>
          <w:sz w:val="32"/>
          <w:szCs w:val="32"/>
          <w:highlight w:val="none"/>
          <w:lang w:val="en-US" w:eastAsia="zh-CN"/>
        </w:rPr>
        <w:t>达标率</w:t>
      </w:r>
      <w:r>
        <w:rPr>
          <w:rFonts w:hint="default" w:ascii="仿宋_GB2312" w:hAnsi="仿宋_GB2312" w:eastAsia="仿宋_GB2312" w:cs="仿宋_GB2312"/>
          <w:color w:val="auto"/>
          <w:spacing w:val="0"/>
          <w:w w:val="100"/>
          <w:kern w:val="1"/>
          <w:sz w:val="32"/>
          <w:szCs w:val="32"/>
          <w:highlight w:val="none"/>
          <w:lang w:val="en-US" w:eastAsia="zh-CN"/>
        </w:rPr>
        <w:t>100%</w:t>
      </w:r>
      <w:r>
        <w:rPr>
          <w:rFonts w:hint="eastAsia" w:ascii="仿宋_GB2312" w:hAnsi="仿宋_GB2312" w:eastAsia="仿宋_GB2312" w:cs="仿宋_GB2312"/>
          <w:color w:val="auto"/>
          <w:spacing w:val="0"/>
          <w:w w:val="100"/>
          <w:kern w:val="1"/>
          <w:sz w:val="32"/>
          <w:szCs w:val="32"/>
          <w:highlight w:val="none"/>
          <w:lang w:val="en-US" w:eastAsia="zh-CN"/>
        </w:rPr>
        <w:t>。“</w:t>
      </w:r>
      <w:r>
        <w:rPr>
          <w:rFonts w:hint="default" w:ascii="仿宋_GB2312" w:hAnsi="仿宋_GB2312" w:eastAsia="仿宋_GB2312" w:cs="仿宋_GB2312"/>
          <w:color w:val="auto"/>
          <w:spacing w:val="0"/>
          <w:w w:val="100"/>
          <w:kern w:val="1"/>
          <w:sz w:val="32"/>
          <w:szCs w:val="32"/>
          <w:highlight w:val="none"/>
          <w:lang w:val="en-US" w:eastAsia="zh-CN"/>
        </w:rPr>
        <w:t>一河四渠</w:t>
      </w:r>
      <w:r>
        <w:rPr>
          <w:rFonts w:hint="eastAsia" w:ascii="仿宋_GB2312" w:hAnsi="仿宋_GB2312" w:eastAsia="仿宋_GB2312" w:cs="仿宋_GB2312"/>
          <w:color w:val="auto"/>
          <w:spacing w:val="0"/>
          <w:w w:val="100"/>
          <w:kern w:val="1"/>
          <w:sz w:val="32"/>
          <w:szCs w:val="32"/>
          <w:highlight w:val="none"/>
          <w:lang w:val="en-US" w:eastAsia="zh-CN"/>
        </w:rPr>
        <w:t>”</w:t>
      </w:r>
      <w:r>
        <w:rPr>
          <w:rFonts w:hint="default" w:ascii="仿宋_GB2312" w:hAnsi="仿宋_GB2312" w:eastAsia="仿宋_GB2312" w:cs="仿宋_GB2312"/>
          <w:color w:val="auto"/>
          <w:spacing w:val="0"/>
          <w:w w:val="100"/>
          <w:kern w:val="1"/>
          <w:sz w:val="32"/>
          <w:szCs w:val="32"/>
          <w:highlight w:val="none"/>
          <w:lang w:val="en-US" w:eastAsia="zh-CN"/>
        </w:rPr>
        <w:t>完成黑臭水体整治</w:t>
      </w:r>
      <w:r>
        <w:rPr>
          <w:rFonts w:hint="eastAsia" w:ascii="仿宋_GB2312" w:hAnsi="仿宋_GB2312" w:eastAsia="仿宋_GB2312" w:cs="仿宋_GB2312"/>
          <w:color w:val="auto"/>
          <w:spacing w:val="0"/>
          <w:w w:val="100"/>
          <w:kern w:val="1"/>
          <w:sz w:val="32"/>
          <w:szCs w:val="32"/>
          <w:highlight w:val="none"/>
          <w:lang w:val="en-US" w:eastAsia="zh-CN"/>
        </w:rPr>
        <w:t>，被确定为国家级黑臭水体治理试点县。</w:t>
      </w:r>
      <w:r>
        <w:rPr>
          <w:rFonts w:hint="default" w:ascii="仿宋_GB2312" w:hAnsi="仿宋_GB2312" w:eastAsia="仿宋_GB2312" w:cs="仿宋_GB2312"/>
          <w:color w:val="auto"/>
          <w:spacing w:val="0"/>
          <w:w w:val="100"/>
          <w:kern w:val="1"/>
          <w:sz w:val="32"/>
          <w:szCs w:val="32"/>
          <w:highlight w:val="none"/>
          <w:lang w:val="en-US" w:eastAsia="zh-CN"/>
        </w:rPr>
        <w:t>及时更新土壤环境重点监管单位名单，</w:t>
      </w:r>
      <w:r>
        <w:rPr>
          <w:rFonts w:hint="eastAsia" w:ascii="仿宋_GB2312" w:hAnsi="仿宋_GB2312" w:eastAsia="仿宋_GB2312" w:cs="仿宋_GB2312"/>
          <w:color w:val="auto"/>
          <w:spacing w:val="0"/>
          <w:w w:val="100"/>
          <w:kern w:val="1"/>
          <w:sz w:val="32"/>
          <w:szCs w:val="32"/>
          <w:highlight w:val="none"/>
          <w:lang w:val="en-US" w:eastAsia="zh-CN"/>
        </w:rPr>
        <w:t>定期开展土壤污染监测及隐患排查</w:t>
      </w:r>
      <w:r>
        <w:rPr>
          <w:rFonts w:hint="default" w:ascii="仿宋_GB2312" w:hAnsi="仿宋_GB2312" w:eastAsia="仿宋_GB2312" w:cs="仿宋_GB2312"/>
          <w:color w:val="auto"/>
          <w:spacing w:val="0"/>
          <w:w w:val="100"/>
          <w:kern w:val="1"/>
          <w:sz w:val="32"/>
          <w:szCs w:val="32"/>
          <w:highlight w:val="none"/>
          <w:lang w:val="en-US" w:eastAsia="zh-CN"/>
        </w:rPr>
        <w:t>。</w:t>
      </w:r>
      <w:r>
        <w:rPr>
          <w:rFonts w:hint="eastAsia" w:ascii="仿宋_GB2312" w:hAnsi="仿宋_GB2312" w:eastAsia="仿宋_GB2312" w:cs="仿宋_GB2312"/>
          <w:color w:val="auto"/>
          <w:spacing w:val="0"/>
          <w:w w:val="100"/>
          <w:kern w:val="1"/>
          <w:sz w:val="32"/>
          <w:szCs w:val="32"/>
          <w:highlight w:val="none"/>
          <w:lang w:val="en-US" w:eastAsia="zh-CN"/>
        </w:rPr>
        <w:t>开展全域“三网”建设，实施“一村万树”工程，绿化里程350余公里，栽植各类苗木320余万株，人均绿化面积增加2.2平方米。光伏、风力、水力、垃圾焚烧等新能源发电总量达3.7亿千瓦时。</w:t>
      </w:r>
    </w:p>
    <w:p w14:paraId="29CE0E96">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3" w:firstLineChars="200"/>
        <w:jc w:val="both"/>
        <w:textAlignment w:val="auto"/>
        <w:outlineLvl w:val="9"/>
        <w:rPr>
          <w:rFonts w:hint="eastAsia" w:ascii="仿宋_GB2312" w:hAnsi="仿宋_GB2312" w:eastAsia="仿宋_GB2312" w:cs="仿宋_GB2312"/>
          <w:color w:val="auto"/>
          <w:spacing w:val="0"/>
          <w:w w:val="100"/>
          <w:kern w:val="1"/>
          <w:sz w:val="32"/>
          <w:szCs w:val="32"/>
          <w:highlight w:val="none"/>
          <w:lang w:val="en-US" w:eastAsia="zh-CN"/>
        </w:rPr>
      </w:pPr>
      <w:r>
        <w:rPr>
          <w:rFonts w:hint="eastAsia"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t>七是</w:t>
      </w:r>
      <w:r>
        <w:rPr>
          <w:rFonts w:hint="default"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t>重民生办实事，厚植为民情怀。</w:t>
      </w:r>
      <w:r>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实施第三职业中专、善庆路小学、和谐路小学等16所学校新建及改扩建项目</w:t>
      </w:r>
      <w:r>
        <w:rPr>
          <w:rFonts w:hint="default" w:ascii="仿宋_GB2312" w:hAnsi="仿宋_GB2312" w:eastAsia="仿宋_GB2312" w:cs="仿宋_GB2312"/>
          <w:color w:val="auto"/>
          <w:spacing w:val="0"/>
          <w:w w:val="100"/>
          <w:kern w:val="1"/>
          <w:sz w:val="32"/>
          <w:szCs w:val="32"/>
          <w:highlight w:val="none"/>
          <w:lang w:val="en-US" w:eastAsia="zh-CN"/>
        </w:rPr>
        <w:t>，</w:t>
      </w:r>
      <w:r>
        <w:rPr>
          <w:rFonts w:hint="eastAsia" w:ascii="仿宋_GB2312" w:hAnsi="仿宋_GB2312" w:eastAsia="仿宋_GB2312" w:cs="仿宋_GB2312"/>
          <w:color w:val="auto"/>
          <w:spacing w:val="0"/>
          <w:w w:val="100"/>
          <w:kern w:val="1"/>
          <w:sz w:val="32"/>
          <w:szCs w:val="32"/>
          <w:highlight w:val="none"/>
          <w:lang w:val="en-US" w:eastAsia="zh-CN"/>
        </w:rPr>
        <w:t>纬二路小学、</w:t>
      </w:r>
      <w:r>
        <w:rPr>
          <w:rFonts w:hint="default" w:ascii="仿宋_GB2312" w:hAnsi="仿宋_GB2312" w:eastAsia="仿宋_GB2312" w:cs="仿宋_GB2312"/>
          <w:color w:val="auto"/>
          <w:spacing w:val="0"/>
          <w:w w:val="100"/>
          <w:kern w:val="1"/>
          <w:sz w:val="32"/>
          <w:szCs w:val="32"/>
          <w:highlight w:val="none"/>
          <w:lang w:val="en-US" w:eastAsia="zh-CN"/>
        </w:rPr>
        <w:t>三里井幼儿园、规划路幼儿园投入使用</w:t>
      </w:r>
      <w:r>
        <w:rPr>
          <w:rFonts w:hint="eastAsia" w:ascii="仿宋_GB2312" w:hAnsi="仿宋_GB2312" w:eastAsia="仿宋_GB2312" w:cs="仿宋_GB2312"/>
          <w:color w:val="auto"/>
          <w:spacing w:val="0"/>
          <w:w w:val="100"/>
          <w:kern w:val="1"/>
          <w:sz w:val="32"/>
          <w:szCs w:val="32"/>
          <w:highlight w:val="none"/>
          <w:lang w:val="en-US" w:eastAsia="zh-CN"/>
        </w:rPr>
        <w:t>，</w:t>
      </w:r>
      <w:r>
        <w:rPr>
          <w:rFonts w:hint="default" w:ascii="仿宋_GB2312" w:hAnsi="仿宋_GB2312" w:eastAsia="仿宋_GB2312" w:cs="仿宋_GB2312"/>
          <w:color w:val="auto"/>
          <w:spacing w:val="0"/>
          <w:w w:val="100"/>
          <w:kern w:val="1"/>
          <w:sz w:val="32"/>
          <w:szCs w:val="32"/>
          <w:highlight w:val="none"/>
          <w:lang w:val="en-US" w:eastAsia="zh-CN"/>
        </w:rPr>
        <w:t>高考</w:t>
      </w:r>
      <w:r>
        <w:rPr>
          <w:rFonts w:hint="eastAsia" w:ascii="仿宋_GB2312" w:hAnsi="仿宋_GB2312" w:eastAsia="仿宋_GB2312" w:cs="仿宋_GB2312"/>
          <w:color w:val="auto"/>
          <w:spacing w:val="0"/>
          <w:w w:val="100"/>
          <w:kern w:val="1"/>
          <w:sz w:val="32"/>
          <w:szCs w:val="32"/>
          <w:highlight w:val="none"/>
          <w:lang w:val="en-US" w:eastAsia="zh-CN"/>
        </w:rPr>
        <w:t>本科</w:t>
      </w:r>
      <w:r>
        <w:rPr>
          <w:rFonts w:hint="default" w:ascii="仿宋_GB2312" w:hAnsi="仿宋_GB2312" w:eastAsia="仿宋_GB2312" w:cs="仿宋_GB2312"/>
          <w:color w:val="auto"/>
          <w:spacing w:val="0"/>
          <w:w w:val="100"/>
          <w:kern w:val="1"/>
          <w:sz w:val="32"/>
          <w:szCs w:val="32"/>
          <w:highlight w:val="none"/>
          <w:lang w:val="en-US" w:eastAsia="zh-CN"/>
        </w:rPr>
        <w:t>上线率达59.31%</w:t>
      </w:r>
      <w:r>
        <w:rPr>
          <w:rFonts w:hint="eastAsia" w:ascii="仿宋_GB2312" w:hAnsi="仿宋_GB2312" w:eastAsia="仿宋_GB2312" w:cs="仿宋_GB2312"/>
          <w:color w:val="auto"/>
          <w:spacing w:val="0"/>
          <w:w w:val="100"/>
          <w:kern w:val="1"/>
          <w:sz w:val="32"/>
          <w:szCs w:val="32"/>
          <w:highlight w:val="none"/>
          <w:lang w:val="en-US" w:eastAsia="zh-CN"/>
        </w:rPr>
        <w:t>。</w:t>
      </w:r>
      <w:r>
        <w:rPr>
          <w:rFonts w:hint="default" w:ascii="仿宋_GB2312" w:hAnsi="仿宋_GB2312" w:eastAsia="仿宋_GB2312" w:cs="仿宋_GB2312"/>
          <w:color w:val="auto"/>
          <w:spacing w:val="0"/>
          <w:w w:val="100"/>
          <w:kern w:val="1"/>
          <w:sz w:val="32"/>
          <w:szCs w:val="32"/>
          <w:highlight w:val="none"/>
          <w:lang w:val="en-US" w:eastAsia="zh-CN"/>
        </w:rPr>
        <w:t>建成</w:t>
      </w:r>
      <w:r>
        <w:rPr>
          <w:rFonts w:hint="eastAsia" w:ascii="仿宋_GB2312" w:hAnsi="仿宋_GB2312" w:eastAsia="仿宋_GB2312" w:cs="仿宋_GB2312"/>
          <w:color w:val="auto"/>
          <w:spacing w:val="0"/>
          <w:w w:val="100"/>
          <w:kern w:val="1"/>
          <w:sz w:val="32"/>
          <w:szCs w:val="32"/>
          <w:highlight w:val="none"/>
          <w:lang w:val="en-US" w:eastAsia="zh-CN"/>
        </w:rPr>
        <w:t>两</w:t>
      </w:r>
      <w:r>
        <w:rPr>
          <w:rFonts w:hint="default" w:ascii="仿宋_GB2312" w:hAnsi="仿宋_GB2312" w:eastAsia="仿宋_GB2312" w:cs="仿宋_GB2312"/>
          <w:color w:val="auto"/>
          <w:spacing w:val="0"/>
          <w:w w:val="100"/>
          <w:kern w:val="1"/>
          <w:sz w:val="32"/>
          <w:szCs w:val="32"/>
          <w:highlight w:val="none"/>
          <w:lang w:val="en-US" w:eastAsia="zh-CN"/>
        </w:rPr>
        <w:t>所县级养老供养机构</w:t>
      </w:r>
      <w:r>
        <w:rPr>
          <w:rFonts w:hint="eastAsia" w:ascii="仿宋_GB2312" w:hAnsi="仿宋_GB2312" w:eastAsia="仿宋_GB2312" w:cs="仿宋_GB2312"/>
          <w:color w:val="auto"/>
          <w:spacing w:val="0"/>
          <w:w w:val="100"/>
          <w:kern w:val="1"/>
          <w:sz w:val="32"/>
          <w:szCs w:val="32"/>
          <w:highlight w:val="none"/>
          <w:lang w:val="en-US" w:eastAsia="zh-CN"/>
        </w:rPr>
        <w:t>、两所</w:t>
      </w:r>
      <w:r>
        <w:rPr>
          <w:rFonts w:hint="default" w:ascii="仿宋_GB2312" w:hAnsi="仿宋_GB2312" w:eastAsia="仿宋_GB2312" w:cs="仿宋_GB2312"/>
          <w:color w:val="auto"/>
          <w:spacing w:val="0"/>
          <w:w w:val="100"/>
          <w:kern w:val="1"/>
          <w:sz w:val="32"/>
          <w:szCs w:val="32"/>
          <w:highlight w:val="none"/>
          <w:lang w:val="en-US" w:eastAsia="zh-CN"/>
        </w:rPr>
        <w:t>街道综合养老服务中心，社区养老服务设施配建率</w:t>
      </w:r>
      <w:r>
        <w:rPr>
          <w:rFonts w:hint="eastAsia" w:ascii="仿宋_GB2312" w:hAnsi="仿宋_GB2312" w:eastAsia="仿宋_GB2312" w:cs="仿宋_GB2312"/>
          <w:color w:val="auto"/>
          <w:spacing w:val="0"/>
          <w:w w:val="100"/>
          <w:kern w:val="1"/>
          <w:sz w:val="32"/>
          <w:szCs w:val="32"/>
          <w:highlight w:val="none"/>
          <w:lang w:val="en-US" w:eastAsia="zh-CN"/>
        </w:rPr>
        <w:t>达到</w:t>
      </w:r>
      <w:r>
        <w:rPr>
          <w:rFonts w:hint="default" w:ascii="仿宋_GB2312" w:hAnsi="仿宋_GB2312" w:eastAsia="仿宋_GB2312" w:cs="仿宋_GB2312"/>
          <w:color w:val="auto"/>
          <w:spacing w:val="0"/>
          <w:w w:val="100"/>
          <w:kern w:val="1"/>
          <w:sz w:val="32"/>
          <w:szCs w:val="32"/>
          <w:highlight w:val="none"/>
          <w:lang w:val="en-US" w:eastAsia="zh-CN"/>
        </w:rPr>
        <w:t>100%</w:t>
      </w:r>
      <w:r>
        <w:rPr>
          <w:rFonts w:hint="eastAsia" w:ascii="仿宋_GB2312" w:hAnsi="仿宋_GB2312" w:eastAsia="仿宋_GB2312" w:cs="仿宋_GB2312"/>
          <w:color w:val="auto"/>
          <w:spacing w:val="0"/>
          <w:w w:val="100"/>
          <w:kern w:val="1"/>
          <w:sz w:val="32"/>
          <w:szCs w:val="32"/>
          <w:highlight w:val="none"/>
          <w:lang w:val="en-US" w:eastAsia="zh-CN"/>
        </w:rPr>
        <w:t>。</w:t>
      </w:r>
      <w:r>
        <w:rPr>
          <w:rFonts w:hint="default" w:ascii="仿宋_GB2312" w:hAnsi="仿宋_GB2312" w:eastAsia="仿宋_GB2312" w:cs="仿宋_GB2312"/>
          <w:color w:val="auto"/>
          <w:spacing w:val="0"/>
          <w:w w:val="100"/>
          <w:kern w:val="1"/>
          <w:sz w:val="32"/>
          <w:szCs w:val="32"/>
          <w:highlight w:val="none"/>
          <w:lang w:val="en-US" w:eastAsia="zh-CN"/>
        </w:rPr>
        <w:t>全面落实低保、特困、残疾人、孤儿、医保等政策。</w:t>
      </w:r>
      <w:r>
        <w:rPr>
          <w:rFonts w:hint="eastAsia" w:ascii="仿宋_GB2312" w:hAnsi="仿宋_GB2312" w:eastAsia="仿宋_GB2312" w:cs="仿宋_GB2312"/>
          <w:color w:val="auto"/>
          <w:spacing w:val="0"/>
          <w:w w:val="100"/>
          <w:kern w:val="1"/>
          <w:sz w:val="32"/>
          <w:szCs w:val="32"/>
          <w:highlight w:val="none"/>
          <w:lang w:val="en-US" w:eastAsia="zh-CN"/>
        </w:rPr>
        <w:t>规划建设</w:t>
      </w:r>
      <w:r>
        <w:rPr>
          <w:rFonts w:hint="eastAsia" w:ascii="仿宋_GB2312" w:hAnsi="仿宋_GB2312" w:eastAsia="仿宋_GB2312" w:cs="仿宋_GB2312"/>
          <w:color w:val="000000" w:themeColor="text1"/>
          <w:spacing w:val="0"/>
          <w:w w:val="100"/>
          <w:kern w:val="1"/>
          <w:sz w:val="32"/>
          <w:szCs w:val="32"/>
          <w:highlight w:val="none"/>
          <w:lang w:val="en-US" w:eastAsia="zh-CN"/>
          <w14:textFill>
            <w14:solidFill>
              <w14:schemeClr w14:val="tx1"/>
            </w14:solidFill>
          </w14:textFill>
        </w:rPr>
        <w:t>县妇女儿童医院、县第二人民医院。</w:t>
      </w:r>
      <w:r>
        <w:rPr>
          <w:rFonts w:hint="default" w:ascii="仿宋_GB2312" w:hAnsi="仿宋_GB2312" w:eastAsia="仿宋_GB2312" w:cs="仿宋_GB2312"/>
          <w:color w:val="auto"/>
          <w:spacing w:val="0"/>
          <w:w w:val="100"/>
          <w:kern w:val="1"/>
          <w:sz w:val="32"/>
          <w:szCs w:val="32"/>
          <w:highlight w:val="none"/>
          <w:lang w:val="en-US" w:eastAsia="zh-CN"/>
        </w:rPr>
        <w:t>落实</w:t>
      </w:r>
      <w:r>
        <w:rPr>
          <w:rFonts w:hint="eastAsia" w:ascii="仿宋_GB2312" w:hAnsi="仿宋_GB2312" w:eastAsia="仿宋_GB2312" w:cs="仿宋_GB2312"/>
          <w:color w:val="auto"/>
          <w:spacing w:val="0"/>
          <w:w w:val="100"/>
          <w:kern w:val="1"/>
          <w:sz w:val="32"/>
          <w:szCs w:val="32"/>
          <w:highlight w:val="none"/>
          <w:lang w:val="en-US" w:eastAsia="zh-CN"/>
        </w:rPr>
        <w:t>“</w:t>
      </w:r>
      <w:r>
        <w:rPr>
          <w:rFonts w:hint="default" w:ascii="仿宋_GB2312" w:hAnsi="仿宋_GB2312" w:eastAsia="仿宋_GB2312" w:cs="仿宋_GB2312"/>
          <w:color w:val="auto"/>
          <w:spacing w:val="0"/>
          <w:w w:val="100"/>
          <w:kern w:val="1"/>
          <w:sz w:val="32"/>
          <w:szCs w:val="32"/>
          <w:highlight w:val="none"/>
          <w:lang w:val="en-US" w:eastAsia="zh-CN"/>
        </w:rPr>
        <w:t>人人持证、技能河南</w:t>
      </w:r>
      <w:r>
        <w:rPr>
          <w:rFonts w:hint="eastAsia" w:ascii="仿宋_GB2312" w:hAnsi="仿宋_GB2312" w:eastAsia="仿宋_GB2312" w:cs="仿宋_GB2312"/>
          <w:color w:val="auto"/>
          <w:spacing w:val="0"/>
          <w:w w:val="100"/>
          <w:kern w:val="1"/>
          <w:sz w:val="32"/>
          <w:szCs w:val="32"/>
          <w:highlight w:val="none"/>
          <w:lang w:val="en-US" w:eastAsia="zh-CN"/>
        </w:rPr>
        <w:t>”</w:t>
      </w:r>
      <w:r>
        <w:rPr>
          <w:rFonts w:hint="default" w:ascii="仿宋_GB2312" w:hAnsi="仿宋_GB2312" w:eastAsia="仿宋_GB2312" w:cs="仿宋_GB2312"/>
          <w:color w:val="auto"/>
          <w:spacing w:val="0"/>
          <w:w w:val="100"/>
          <w:kern w:val="1"/>
          <w:sz w:val="32"/>
          <w:szCs w:val="32"/>
          <w:highlight w:val="none"/>
          <w:lang w:val="en-US" w:eastAsia="zh-CN"/>
        </w:rPr>
        <w:t>建设，完成各类职业技能</w:t>
      </w:r>
      <w:r>
        <w:rPr>
          <w:rFonts w:hint="eastAsia" w:ascii="仿宋_GB2312" w:hAnsi="仿宋_GB2312" w:eastAsia="仿宋_GB2312" w:cs="仿宋_GB2312"/>
          <w:color w:val="auto"/>
          <w:spacing w:val="0"/>
          <w:w w:val="100"/>
          <w:kern w:val="1"/>
          <w:sz w:val="32"/>
          <w:szCs w:val="32"/>
          <w:highlight w:val="none"/>
          <w:lang w:val="en-US" w:eastAsia="zh-CN"/>
        </w:rPr>
        <w:t>培训2.6</w:t>
      </w:r>
      <w:r>
        <w:rPr>
          <w:rFonts w:hint="default" w:ascii="仿宋_GB2312" w:hAnsi="仿宋_GB2312" w:eastAsia="仿宋_GB2312" w:cs="仿宋_GB2312"/>
          <w:color w:val="auto"/>
          <w:spacing w:val="0"/>
          <w:w w:val="100"/>
          <w:kern w:val="1"/>
          <w:sz w:val="32"/>
          <w:szCs w:val="32"/>
          <w:highlight w:val="none"/>
          <w:lang w:val="en-US" w:eastAsia="zh-CN"/>
        </w:rPr>
        <w:t>万人</w:t>
      </w:r>
      <w:r>
        <w:rPr>
          <w:rFonts w:hint="eastAsia" w:ascii="仿宋_GB2312" w:hAnsi="仿宋_GB2312" w:eastAsia="仿宋_GB2312" w:cs="仿宋_GB2312"/>
          <w:color w:val="auto"/>
          <w:spacing w:val="0"/>
          <w:w w:val="100"/>
          <w:kern w:val="1"/>
          <w:sz w:val="32"/>
          <w:szCs w:val="32"/>
          <w:highlight w:val="none"/>
          <w:lang w:val="en-US" w:eastAsia="zh-CN"/>
        </w:rPr>
        <w:t>。</w:t>
      </w:r>
      <w:r>
        <w:rPr>
          <w:rFonts w:hint="default" w:ascii="仿宋_GB2312" w:hAnsi="仿宋_GB2312" w:eastAsia="仿宋_GB2312" w:cs="仿宋_GB2312"/>
          <w:color w:val="auto"/>
          <w:spacing w:val="0"/>
          <w:w w:val="100"/>
          <w:kern w:val="1"/>
          <w:sz w:val="32"/>
          <w:szCs w:val="32"/>
          <w:highlight w:val="none"/>
          <w:lang w:val="en-US" w:eastAsia="zh-CN"/>
        </w:rPr>
        <w:t>发放创业担保贷款</w:t>
      </w:r>
      <w:r>
        <w:rPr>
          <w:rFonts w:hint="eastAsia" w:ascii="仿宋_GB2312" w:hAnsi="仿宋_GB2312" w:eastAsia="仿宋_GB2312" w:cs="仿宋_GB2312"/>
          <w:color w:val="auto"/>
          <w:spacing w:val="0"/>
          <w:w w:val="100"/>
          <w:kern w:val="1"/>
          <w:sz w:val="32"/>
          <w:szCs w:val="32"/>
          <w:highlight w:val="none"/>
          <w:lang w:val="en-US" w:eastAsia="zh-CN"/>
        </w:rPr>
        <w:t>9155</w:t>
      </w:r>
      <w:r>
        <w:rPr>
          <w:rFonts w:hint="default" w:ascii="仿宋_GB2312" w:hAnsi="仿宋_GB2312" w:eastAsia="仿宋_GB2312" w:cs="仿宋_GB2312"/>
          <w:color w:val="auto"/>
          <w:spacing w:val="0"/>
          <w:w w:val="100"/>
          <w:kern w:val="1"/>
          <w:sz w:val="32"/>
          <w:szCs w:val="32"/>
          <w:highlight w:val="none"/>
          <w:lang w:val="en-US" w:eastAsia="zh-CN"/>
        </w:rPr>
        <w:t>万元。严格落实安全生产责任制，整改消除风险隐患</w:t>
      </w:r>
      <w:r>
        <w:rPr>
          <w:rFonts w:hint="eastAsia" w:ascii="仿宋_GB2312" w:hAnsi="仿宋_GB2312" w:eastAsia="仿宋_GB2312" w:cs="仿宋_GB2312"/>
          <w:color w:val="auto"/>
          <w:spacing w:val="0"/>
          <w:w w:val="100"/>
          <w:kern w:val="1"/>
          <w:sz w:val="32"/>
          <w:szCs w:val="32"/>
          <w:highlight w:val="none"/>
          <w:lang w:val="en-US" w:eastAsia="zh-CN"/>
        </w:rPr>
        <w:t>10020</w:t>
      </w:r>
      <w:r>
        <w:rPr>
          <w:rFonts w:hint="default" w:ascii="仿宋_GB2312" w:hAnsi="仿宋_GB2312" w:eastAsia="仿宋_GB2312" w:cs="仿宋_GB2312"/>
          <w:color w:val="auto"/>
          <w:spacing w:val="0"/>
          <w:w w:val="100"/>
          <w:kern w:val="1"/>
          <w:sz w:val="32"/>
          <w:szCs w:val="32"/>
          <w:highlight w:val="none"/>
          <w:lang w:val="en-US" w:eastAsia="zh-CN"/>
        </w:rPr>
        <w:t>条，1</w:t>
      </w:r>
      <w:r>
        <w:rPr>
          <w:rFonts w:hint="eastAsia" w:ascii="仿宋_GB2312" w:hAnsi="仿宋_GB2312" w:eastAsia="仿宋_GB2312" w:cs="仿宋_GB2312"/>
          <w:color w:val="auto"/>
          <w:spacing w:val="0"/>
          <w:w w:val="100"/>
          <w:kern w:val="1"/>
          <w:sz w:val="32"/>
          <w:szCs w:val="32"/>
          <w:highlight w:val="none"/>
          <w:lang w:val="en-US" w:eastAsia="zh-CN"/>
        </w:rPr>
        <w:t>0</w:t>
      </w:r>
      <w:r>
        <w:rPr>
          <w:rFonts w:hint="default" w:ascii="仿宋_GB2312" w:hAnsi="仿宋_GB2312" w:eastAsia="仿宋_GB2312" w:cs="仿宋_GB2312"/>
          <w:color w:val="auto"/>
          <w:spacing w:val="0"/>
          <w:w w:val="100"/>
          <w:kern w:val="1"/>
          <w:sz w:val="32"/>
          <w:szCs w:val="32"/>
          <w:highlight w:val="none"/>
          <w:lang w:val="en-US" w:eastAsia="zh-CN"/>
        </w:rPr>
        <w:t>个</w:t>
      </w:r>
      <w:r>
        <w:rPr>
          <w:rFonts w:hint="eastAsia" w:ascii="仿宋_GB2312" w:hAnsi="仿宋_GB2312" w:eastAsia="仿宋_GB2312" w:cs="仿宋_GB2312"/>
          <w:color w:val="auto"/>
          <w:spacing w:val="0"/>
          <w:w w:val="100"/>
          <w:kern w:val="1"/>
          <w:sz w:val="32"/>
          <w:szCs w:val="32"/>
          <w:highlight w:val="none"/>
          <w:lang w:val="en-US" w:eastAsia="zh-CN"/>
        </w:rPr>
        <w:t>乡镇</w:t>
      </w:r>
      <w:r>
        <w:rPr>
          <w:rFonts w:hint="default" w:ascii="仿宋_GB2312" w:hAnsi="仿宋_GB2312" w:eastAsia="仿宋_GB2312" w:cs="仿宋_GB2312"/>
          <w:color w:val="auto"/>
          <w:spacing w:val="0"/>
          <w:w w:val="100"/>
          <w:kern w:val="1"/>
          <w:sz w:val="32"/>
          <w:szCs w:val="32"/>
          <w:highlight w:val="none"/>
          <w:lang w:val="en-US" w:eastAsia="zh-CN"/>
        </w:rPr>
        <w:t>消防站</w:t>
      </w:r>
      <w:r>
        <w:rPr>
          <w:rFonts w:hint="eastAsia" w:ascii="仿宋_GB2312" w:hAnsi="仿宋_GB2312" w:eastAsia="仿宋_GB2312" w:cs="仿宋_GB2312"/>
          <w:color w:val="auto"/>
          <w:spacing w:val="0"/>
          <w:w w:val="100"/>
          <w:kern w:val="1"/>
          <w:sz w:val="32"/>
          <w:szCs w:val="32"/>
          <w:highlight w:val="none"/>
          <w:lang w:val="en-US" w:eastAsia="zh-CN"/>
        </w:rPr>
        <w:t>建成投勤。</w:t>
      </w:r>
      <w:r>
        <w:rPr>
          <w:rFonts w:hint="default" w:ascii="仿宋_GB2312" w:hAnsi="仿宋_GB2312" w:eastAsia="仿宋_GB2312" w:cs="仿宋_GB2312"/>
          <w:color w:val="auto"/>
          <w:spacing w:val="0"/>
          <w:w w:val="100"/>
          <w:kern w:val="1"/>
          <w:sz w:val="32"/>
          <w:szCs w:val="32"/>
          <w:highlight w:val="none"/>
          <w:lang w:val="en-US" w:eastAsia="zh-CN"/>
        </w:rPr>
        <w:t>深入推进</w:t>
      </w:r>
      <w:r>
        <w:rPr>
          <w:rFonts w:hint="eastAsia" w:ascii="仿宋_GB2312" w:hAnsi="仿宋_GB2312" w:eastAsia="仿宋_GB2312" w:cs="仿宋_GB2312"/>
          <w:color w:val="auto"/>
          <w:spacing w:val="0"/>
          <w:w w:val="100"/>
          <w:kern w:val="1"/>
          <w:sz w:val="32"/>
          <w:szCs w:val="32"/>
          <w:highlight w:val="none"/>
          <w:lang w:val="en-US" w:eastAsia="zh-CN"/>
        </w:rPr>
        <w:t>“</w:t>
      </w:r>
      <w:r>
        <w:rPr>
          <w:rFonts w:hint="default" w:ascii="仿宋_GB2312" w:hAnsi="仿宋_GB2312" w:eastAsia="仿宋_GB2312" w:cs="仿宋_GB2312"/>
          <w:color w:val="auto"/>
          <w:spacing w:val="0"/>
          <w:w w:val="100"/>
          <w:kern w:val="1"/>
          <w:sz w:val="32"/>
          <w:szCs w:val="32"/>
          <w:highlight w:val="none"/>
          <w:lang w:val="en-US" w:eastAsia="zh-CN"/>
        </w:rPr>
        <w:t>三零</w:t>
      </w:r>
      <w:r>
        <w:rPr>
          <w:rFonts w:hint="eastAsia" w:ascii="仿宋_GB2312" w:hAnsi="仿宋_GB2312" w:eastAsia="仿宋_GB2312" w:cs="仿宋_GB2312"/>
          <w:color w:val="auto"/>
          <w:spacing w:val="0"/>
          <w:w w:val="100"/>
          <w:kern w:val="1"/>
          <w:sz w:val="32"/>
          <w:szCs w:val="32"/>
          <w:highlight w:val="none"/>
          <w:lang w:val="en-US" w:eastAsia="zh-CN"/>
        </w:rPr>
        <w:t>”</w:t>
      </w:r>
      <w:r>
        <w:rPr>
          <w:rFonts w:hint="default" w:ascii="仿宋_GB2312" w:hAnsi="仿宋_GB2312" w:eastAsia="仿宋_GB2312" w:cs="仿宋_GB2312"/>
          <w:color w:val="auto"/>
          <w:spacing w:val="0"/>
          <w:w w:val="100"/>
          <w:kern w:val="1"/>
          <w:sz w:val="32"/>
          <w:szCs w:val="32"/>
          <w:highlight w:val="none"/>
          <w:lang w:val="en-US" w:eastAsia="zh-CN"/>
        </w:rPr>
        <w:t>创建</w:t>
      </w:r>
      <w:r>
        <w:rPr>
          <w:rFonts w:hint="eastAsia" w:ascii="仿宋_GB2312" w:hAnsi="仿宋_GB2312" w:eastAsia="仿宋_GB2312" w:cs="仿宋_GB2312"/>
          <w:color w:val="auto"/>
          <w:spacing w:val="0"/>
          <w:w w:val="100"/>
          <w:kern w:val="1"/>
          <w:sz w:val="32"/>
          <w:szCs w:val="32"/>
          <w:highlight w:val="none"/>
          <w:lang w:val="en-US" w:eastAsia="zh-CN"/>
        </w:rPr>
        <w:t>，荣获全省信访工作先进县、全省重复信访化解信访积案工作先进县。顺利完成二十大期间安保维稳任务，被省、市信访联席办通报表扬。农商银行不良贷款率降为3.32%，居全省第13位。积极推进12345政务便民服务热线与网格化管理工作机制融合，创新完善“一格一屏一清单”网格化工作机制，联合腾讯集团搭建“沈政微”数字政务平台，网格化管理实现全覆盖，办结4.4万件民生实事，办结率99.8%。</w:t>
      </w:r>
    </w:p>
    <w:p w14:paraId="7FC2292F">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0" w:firstLineChars="200"/>
        <w:jc w:val="both"/>
        <w:textAlignment w:val="auto"/>
        <w:outlineLvl w:val="9"/>
        <w:rPr>
          <w:rFonts w:hint="default"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kern w:val="1"/>
          <w:sz w:val="32"/>
          <w:szCs w:val="32"/>
          <w:highlight w:val="none"/>
          <w:lang w:val="en-US" w:eastAsia="zh-CN"/>
        </w:rPr>
        <w:t>这一年，</w:t>
      </w:r>
      <w:r>
        <w:rPr>
          <w:rFonts w:hint="default" w:ascii="仿宋_GB2312" w:hAnsi="仿宋_GB2312" w:eastAsia="仿宋_GB2312" w:cs="仿宋_GB2312"/>
          <w:color w:val="auto"/>
          <w:spacing w:val="0"/>
          <w:w w:val="100"/>
          <w:kern w:val="1"/>
          <w:sz w:val="32"/>
          <w:szCs w:val="32"/>
          <w:highlight w:val="none"/>
          <w:lang w:val="en-US" w:eastAsia="zh-CN"/>
        </w:rPr>
        <w:t>我们扎实</w:t>
      </w:r>
      <w:r>
        <w:rPr>
          <w:rFonts w:hint="eastAsia" w:ascii="仿宋_GB2312" w:hAnsi="仿宋_GB2312" w:eastAsia="仿宋_GB2312" w:cs="仿宋_GB2312"/>
          <w:color w:val="auto"/>
          <w:spacing w:val="0"/>
          <w:w w:val="100"/>
          <w:kern w:val="1"/>
          <w:sz w:val="32"/>
          <w:szCs w:val="32"/>
          <w:highlight w:val="none"/>
          <w:lang w:val="en-US" w:eastAsia="zh-CN"/>
        </w:rPr>
        <w:t>开展</w:t>
      </w:r>
      <w:r>
        <w:rPr>
          <w:rFonts w:hint="default" w:ascii="仿宋_GB2312" w:hAnsi="仿宋_GB2312" w:eastAsia="仿宋_GB2312" w:cs="仿宋_GB2312"/>
          <w:color w:val="auto"/>
          <w:spacing w:val="0"/>
          <w:w w:val="100"/>
          <w:kern w:val="1"/>
          <w:sz w:val="32"/>
          <w:szCs w:val="32"/>
          <w:highlight w:val="none"/>
          <w:lang w:val="en-US" w:eastAsia="zh-CN"/>
        </w:rPr>
        <w:t>党的二十大</w:t>
      </w:r>
      <w:r>
        <w:rPr>
          <w:rFonts w:hint="eastAsia" w:ascii="仿宋_GB2312" w:hAnsi="仿宋_GB2312" w:eastAsia="仿宋_GB2312" w:cs="仿宋_GB2312"/>
          <w:color w:val="auto"/>
          <w:spacing w:val="0"/>
          <w:w w:val="100"/>
          <w:kern w:val="1"/>
          <w:sz w:val="32"/>
          <w:szCs w:val="32"/>
          <w:highlight w:val="none"/>
          <w:lang w:val="en-US" w:eastAsia="zh-CN"/>
        </w:rPr>
        <w:t>宣讲</w:t>
      </w:r>
      <w:r>
        <w:rPr>
          <w:rFonts w:hint="default" w:ascii="仿宋_GB2312" w:hAnsi="仿宋_GB2312" w:eastAsia="仿宋_GB2312" w:cs="仿宋_GB2312"/>
          <w:color w:val="auto"/>
          <w:spacing w:val="0"/>
          <w:w w:val="100"/>
          <w:kern w:val="1"/>
          <w:sz w:val="32"/>
          <w:szCs w:val="32"/>
          <w:highlight w:val="none"/>
          <w:lang w:val="en-US" w:eastAsia="zh-CN"/>
        </w:rPr>
        <w:t>学习，深入实施</w:t>
      </w:r>
      <w:r>
        <w:rPr>
          <w:rFonts w:hint="eastAsia" w:ascii="仿宋_GB2312" w:hAnsi="仿宋_GB2312" w:eastAsia="仿宋_GB2312" w:cs="仿宋_GB2312"/>
          <w:color w:val="auto"/>
          <w:spacing w:val="0"/>
          <w:w w:val="100"/>
          <w:kern w:val="1"/>
          <w:sz w:val="32"/>
          <w:szCs w:val="32"/>
          <w:highlight w:val="none"/>
          <w:lang w:val="en-US" w:eastAsia="zh-CN"/>
        </w:rPr>
        <w:t>“</w:t>
      </w:r>
      <w:r>
        <w:rPr>
          <w:rFonts w:hint="default" w:ascii="仿宋_GB2312" w:hAnsi="仿宋_GB2312" w:eastAsia="仿宋_GB2312" w:cs="仿宋_GB2312"/>
          <w:color w:val="auto"/>
          <w:spacing w:val="0"/>
          <w:w w:val="100"/>
          <w:kern w:val="1"/>
          <w:sz w:val="32"/>
          <w:szCs w:val="32"/>
          <w:highlight w:val="none"/>
          <w:lang w:val="en-US" w:eastAsia="zh-CN"/>
        </w:rPr>
        <w:t>我为群众办实事</w:t>
      </w:r>
      <w:r>
        <w:rPr>
          <w:rFonts w:hint="eastAsia" w:ascii="仿宋_GB2312" w:hAnsi="仿宋_GB2312" w:eastAsia="仿宋_GB2312" w:cs="仿宋_GB2312"/>
          <w:color w:val="auto"/>
          <w:spacing w:val="0"/>
          <w:w w:val="100"/>
          <w:kern w:val="1"/>
          <w:sz w:val="32"/>
          <w:szCs w:val="32"/>
          <w:highlight w:val="none"/>
          <w:lang w:val="en-US" w:eastAsia="zh-CN"/>
        </w:rPr>
        <w:t>”</w:t>
      </w:r>
      <w:r>
        <w:rPr>
          <w:rFonts w:hint="default" w:ascii="仿宋_GB2312" w:hAnsi="仿宋_GB2312" w:eastAsia="仿宋_GB2312" w:cs="仿宋_GB2312"/>
          <w:color w:val="auto"/>
          <w:spacing w:val="0"/>
          <w:w w:val="100"/>
          <w:kern w:val="1"/>
          <w:sz w:val="32"/>
          <w:szCs w:val="32"/>
          <w:highlight w:val="none"/>
          <w:lang w:val="en-US" w:eastAsia="zh-CN"/>
        </w:rPr>
        <w:t>活动，强化重点工作常态化跟踪审计，持续推进政府系统党风廉政建设，政府自身建设水平和治理能力持续提升。自觉接受人大监督、政协民主监督和社会监督，认真办理人大代表建议和政协提案。加强国防教育、国防后备力量和人民防空建设，推进军民融合深度发展，退役军人服务保障水平不断提升。妇女、儿童、慈善等事业健康发展。统计、公积金、史志、档案、气象、人民防空、外事侨务等工作均取得新成绩。</w:t>
      </w:r>
    </w:p>
    <w:p w14:paraId="78CE4066">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0" w:firstLineChars="200"/>
        <w:jc w:val="both"/>
        <w:textAlignment w:val="auto"/>
        <w:outlineLvl w:val="9"/>
        <w:rPr>
          <w:rFonts w:hint="default"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kern w:val="1"/>
          <w:sz w:val="32"/>
          <w:szCs w:val="32"/>
          <w:highlight w:val="none"/>
          <w:lang w:val="en-US" w:eastAsia="zh-CN"/>
        </w:rPr>
        <w:t>各位代表！回顾去年的工作，我们深切体会到这些成绩的取得，是以习近平同志为核心的党中央坚强领导的结果，是市委、市政府和县委科学决策的结果，是县人大、县政协监督支持的结果，是全县党员干部和人民群众团结拼搏的结果。</w:t>
      </w:r>
      <w:r>
        <w:rPr>
          <w:rFonts w:hint="default" w:ascii="仿宋_GB2312" w:hAnsi="仿宋_GB2312" w:eastAsia="仿宋_GB2312" w:cs="仿宋_GB2312"/>
          <w:color w:val="auto"/>
          <w:spacing w:val="0"/>
          <w:w w:val="100"/>
          <w:kern w:val="1"/>
          <w:sz w:val="32"/>
          <w:szCs w:val="32"/>
          <w:highlight w:val="none"/>
          <w:lang w:val="en-US" w:eastAsia="zh-CN"/>
        </w:rPr>
        <w:t>在此，我代表县人民政府，</w:t>
      </w:r>
      <w:r>
        <w:rPr>
          <w:rFonts w:hint="eastAsia" w:ascii="仿宋_GB2312" w:hAnsi="仿宋_GB2312" w:eastAsia="仿宋_GB2312" w:cs="仿宋_GB2312"/>
          <w:color w:val="auto"/>
          <w:spacing w:val="0"/>
          <w:w w:val="100"/>
          <w:kern w:val="1"/>
          <w:sz w:val="32"/>
          <w:szCs w:val="32"/>
          <w:highlight w:val="none"/>
          <w:lang w:val="en-US" w:eastAsia="zh-CN"/>
        </w:rPr>
        <w:t>向全县各族人民和所有干部职工，</w:t>
      </w:r>
      <w:r>
        <w:rPr>
          <w:rFonts w:hint="default" w:ascii="仿宋_GB2312" w:hAnsi="仿宋_GB2312" w:eastAsia="仿宋_GB2312" w:cs="仿宋_GB2312"/>
          <w:color w:val="auto"/>
          <w:spacing w:val="0"/>
          <w:w w:val="100"/>
          <w:kern w:val="1"/>
          <w:sz w:val="32"/>
          <w:szCs w:val="32"/>
          <w:highlight w:val="none"/>
          <w:lang w:val="en-US" w:eastAsia="zh-CN"/>
        </w:rPr>
        <w:t>向各位人大代表和政协委员，向离退休老同志和社会各界人士，向驻沈部队、武警官兵、政法干警、消防救援人员，向所有关心、支持沈丘发展的</w:t>
      </w:r>
      <w:r>
        <w:rPr>
          <w:rFonts w:hint="eastAsia" w:ascii="仿宋_GB2312" w:hAnsi="仿宋_GB2312" w:eastAsia="仿宋_GB2312" w:cs="仿宋_GB2312"/>
          <w:color w:val="auto"/>
          <w:spacing w:val="0"/>
          <w:w w:val="100"/>
          <w:kern w:val="1"/>
          <w:sz w:val="32"/>
          <w:szCs w:val="32"/>
          <w:highlight w:val="none"/>
          <w:lang w:val="en-US" w:eastAsia="zh-CN"/>
        </w:rPr>
        <w:t>各界人士</w:t>
      </w:r>
      <w:r>
        <w:rPr>
          <w:rFonts w:hint="default" w:ascii="仿宋_GB2312" w:hAnsi="仿宋_GB2312" w:eastAsia="仿宋_GB2312" w:cs="仿宋_GB2312"/>
          <w:color w:val="auto"/>
          <w:spacing w:val="0"/>
          <w:w w:val="100"/>
          <w:kern w:val="1"/>
          <w:sz w:val="32"/>
          <w:szCs w:val="32"/>
          <w:highlight w:val="none"/>
          <w:lang w:val="en-US" w:eastAsia="zh-CN"/>
        </w:rPr>
        <w:t>，表示诚挚感谢并致以崇高敬意！</w:t>
      </w:r>
    </w:p>
    <w:p w14:paraId="2A7BC0E4">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w w:val="100"/>
          <w:kern w:val="1"/>
          <w:sz w:val="32"/>
          <w:szCs w:val="32"/>
          <w:highlight w:val="none"/>
          <w:lang w:val="en-US" w:eastAsia="zh-CN"/>
        </w:rPr>
      </w:pPr>
      <w:r>
        <w:rPr>
          <w:rFonts w:hint="eastAsia" w:ascii="仿宋_GB2312" w:hAnsi="仿宋_GB2312" w:eastAsia="仿宋_GB2312" w:cs="仿宋_GB2312"/>
          <w:color w:val="auto"/>
          <w:spacing w:val="0"/>
          <w:w w:val="100"/>
          <w:kern w:val="1"/>
          <w:sz w:val="32"/>
          <w:szCs w:val="32"/>
          <w:highlight w:val="none"/>
          <w:lang w:val="en-US" w:eastAsia="zh-CN"/>
        </w:rPr>
        <w:t>总结成绩的同时，我们清醒认识到，我县经济社会发展中还存在不少困难和问题，主要表现在：工业实力有待持续提升，产业发展不够充分；消费潜力释放不足，企业运行效率有待提高；城乡设施仍有弱项，民生领域还有短板；财政收支矛盾突出，“三保”压力较大；个别干部能力素质、工作作风与新形势、新任务、新要求不相适应。对此，我们一定高度重视，认真加以解决。</w:t>
      </w:r>
    </w:p>
    <w:p w14:paraId="3EB5F39E">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0" w:firstLineChars="200"/>
        <w:jc w:val="both"/>
        <w:textAlignment w:val="auto"/>
        <w:outlineLvl w:val="9"/>
        <w:rPr>
          <w:rFonts w:hint="default" w:ascii="仿宋_GB2312" w:hAnsi="仿宋_GB2312" w:eastAsia="仿宋_GB2312" w:cs="仿宋_GB2312"/>
          <w:color w:val="auto"/>
          <w:spacing w:val="0"/>
          <w:w w:val="100"/>
          <w:kern w:val="1"/>
          <w:sz w:val="32"/>
          <w:szCs w:val="32"/>
          <w:highlight w:val="none"/>
          <w:lang w:val="en-US" w:eastAsia="zh-CN"/>
        </w:rPr>
      </w:pPr>
    </w:p>
    <w:p w14:paraId="4682691D">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right="0" w:rightChars="0"/>
        <w:jc w:val="center"/>
        <w:textAlignment w:val="auto"/>
        <w:outlineLvl w:val="9"/>
        <w:rPr>
          <w:rFonts w:hint="eastAsia" w:ascii="黑体" w:hAnsi="黑体" w:eastAsia="黑体" w:cs="黑体"/>
          <w:color w:val="000000" w:themeColor="text1"/>
          <w:spacing w:val="0"/>
          <w:w w:val="100"/>
          <w:sz w:val="32"/>
          <w:szCs w:val="32"/>
          <w:highlight w:val="none"/>
          <w:u w:val="none" w:color="auto"/>
          <w:lang w:eastAsia="zh-CN"/>
          <w14:textFill>
            <w14:solidFill>
              <w14:schemeClr w14:val="tx1"/>
            </w14:solidFill>
          </w14:textFill>
        </w:rPr>
      </w:pPr>
      <w:r>
        <w:rPr>
          <w:rFonts w:hint="eastAsia" w:ascii="黑体" w:hAnsi="黑体" w:eastAsia="黑体" w:cs="黑体"/>
          <w:color w:val="000000" w:themeColor="text1"/>
          <w:spacing w:val="0"/>
          <w:w w:val="100"/>
          <w:sz w:val="32"/>
          <w:szCs w:val="32"/>
          <w:highlight w:val="none"/>
          <w:u w:val="none" w:color="auto"/>
          <w:lang w:eastAsia="zh-CN"/>
          <w14:textFill>
            <w14:solidFill>
              <w14:schemeClr w14:val="tx1"/>
            </w14:solidFill>
          </w14:textFill>
        </w:rPr>
        <w:t>二、2023年政府工作总体要求和主要目标</w:t>
      </w:r>
    </w:p>
    <w:p w14:paraId="48745E1B">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0" w:firstLineChars="200"/>
        <w:jc w:val="both"/>
        <w:textAlignment w:val="auto"/>
        <w:outlineLvl w:val="9"/>
        <w:rPr>
          <w:rFonts w:hint="default" w:ascii="仿宋_GB2312" w:hAnsi="仿宋_GB2312" w:eastAsia="仿宋_GB2312" w:cs="仿宋_GB2312"/>
          <w:color w:val="auto"/>
          <w:spacing w:val="0"/>
          <w:w w:val="100"/>
          <w:kern w:val="1"/>
          <w:sz w:val="32"/>
          <w:szCs w:val="32"/>
          <w:highlight w:val="none"/>
          <w:lang w:val="en-US" w:eastAsia="zh-CN"/>
        </w:rPr>
      </w:pPr>
    </w:p>
    <w:p w14:paraId="5D39FD60">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0" w:firstLineChars="200"/>
        <w:jc w:val="both"/>
        <w:textAlignment w:val="auto"/>
        <w:outlineLvl w:val="9"/>
        <w:rPr>
          <w:rFonts w:hint="eastAsia" w:ascii="黑体" w:hAnsi="黑体" w:eastAsia="黑体" w:cs="黑体"/>
          <w:color w:val="auto"/>
          <w:spacing w:val="0"/>
          <w:w w:val="100"/>
          <w:kern w:val="1"/>
          <w:sz w:val="32"/>
          <w:szCs w:val="32"/>
          <w:highlight w:val="none"/>
          <w:lang w:val="en-US" w:eastAsia="zh-CN"/>
        </w:rPr>
      </w:pPr>
      <w:r>
        <w:rPr>
          <w:rFonts w:hint="eastAsia" w:ascii="仿宋_GB2312" w:hAnsi="仿宋_GB2312" w:eastAsia="仿宋_GB2312" w:cs="仿宋_GB2312"/>
          <w:color w:val="auto"/>
          <w:spacing w:val="0"/>
          <w:w w:val="100"/>
          <w:kern w:val="1"/>
          <w:sz w:val="32"/>
          <w:szCs w:val="32"/>
          <w:highlight w:val="none"/>
          <w:lang w:val="en-US" w:eastAsia="zh-CN"/>
        </w:rPr>
        <w:t>做好今年的政府工作，要</w:t>
      </w:r>
      <w:r>
        <w:rPr>
          <w:rFonts w:hint="eastAsia" w:ascii="黑体" w:hAnsi="黑体" w:eastAsia="黑体" w:cs="黑体"/>
          <w:color w:val="auto"/>
          <w:spacing w:val="0"/>
          <w:w w:val="100"/>
          <w:kern w:val="1"/>
          <w:sz w:val="32"/>
          <w:szCs w:val="32"/>
          <w:highlight w:val="none"/>
          <w:lang w:val="en-US" w:eastAsia="zh-CN"/>
        </w:rPr>
        <w:t>以习近平新时代中国特色社会主义思想为指导，全面贯彻落实党的二十大和中央经济工作会议精神，深入贯彻习近平总书记视察河南重要讲话精神，落实省委第十一届四次全会精神和省委、市委、县委经济工作会议精神，坚持稳中求进工作总基调，完整、准确、全面贯彻新发展理念，紧抓加快构建新发展格局战略机遇，着力推动高质量发展，锚定“两个确保”、落实“十大战略”，更好统筹疫情防控和经济社会发展，更好统筹发展和安全，全面深化改革开放，大力提振市场信心，把实施扩大内需战略同深化供给侧结构性改革有机结合起来，突出做好稳增长、稳就业、稳物价工作，有效防范化解重大风险，推动经济运行整体好转，实现经济发展质量更高、效益更好、速度更快，奋力谱写中国式现代化沈丘绚丽新篇章。</w:t>
      </w:r>
    </w:p>
    <w:p w14:paraId="28533C48">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0" w:firstLineChars="200"/>
        <w:jc w:val="both"/>
        <w:textAlignment w:val="auto"/>
        <w:outlineLvl w:val="9"/>
        <w:rPr>
          <w:rFonts w:hint="eastAsia" w:ascii="黑体" w:hAnsi="黑体" w:eastAsia="黑体" w:cs="黑体"/>
          <w:color w:val="000000" w:themeColor="text1"/>
          <w:spacing w:val="0"/>
          <w:w w:val="100"/>
          <w:sz w:val="32"/>
          <w:szCs w:val="32"/>
          <w:highlight w:val="none"/>
          <w:u w:val="none" w:color="auto"/>
          <w:lang w:eastAsia="zh-CN"/>
          <w14:textFill>
            <w14:solidFill>
              <w14:schemeClr w14:val="tx1"/>
            </w14:solidFill>
          </w14:textFill>
        </w:rPr>
      </w:pPr>
      <w:r>
        <w:rPr>
          <w:rFonts w:hint="eastAsia" w:ascii="仿宋_GB2312" w:hAnsi="仿宋_GB2312" w:eastAsia="仿宋_GB2312" w:cs="仿宋_GB2312"/>
          <w:color w:val="auto"/>
          <w:spacing w:val="0"/>
          <w:w w:val="100"/>
          <w:kern w:val="1"/>
          <w:sz w:val="32"/>
          <w:szCs w:val="32"/>
          <w:highlight w:val="none"/>
          <w:lang w:val="en-US" w:eastAsia="zh-CN"/>
        </w:rPr>
        <w:t>主要预期目标是：</w:t>
      </w:r>
      <w:r>
        <w:rPr>
          <w:rFonts w:hint="default" w:ascii="黑体" w:hAnsi="黑体" w:eastAsia="黑体" w:cs="黑体"/>
          <w:color w:val="auto"/>
          <w:spacing w:val="0"/>
          <w:w w:val="100"/>
          <w:kern w:val="1"/>
          <w:sz w:val="32"/>
          <w:szCs w:val="32"/>
          <w:highlight w:val="none"/>
          <w:lang w:val="en-US" w:eastAsia="zh-CN"/>
        </w:rPr>
        <w:t>生产总值增长8%左右，常住人口城镇化率提高1.5%，研发经费投入强度达到1%，规上工业增加值增长9%，固定资产投资增长10%以上，社会消费品零售总额增长10%，进出口总额保持稳定增长，财政一般公共预算收入增长7.5%，城镇登记失业率控制在4%以内，城镇新增就业6000人以上，居民收入增长和经济增长基本同步，</w:t>
      </w:r>
      <w:r>
        <w:rPr>
          <w:rFonts w:hint="default" w:ascii="黑体" w:hAnsi="黑体" w:eastAsia="黑体" w:cs="黑体"/>
          <w:color w:val="000000" w:themeColor="text1"/>
          <w:spacing w:val="0"/>
          <w:w w:val="100"/>
          <w:kern w:val="1"/>
          <w:sz w:val="32"/>
          <w:szCs w:val="32"/>
          <w:highlight w:val="none"/>
          <w:lang w:val="en-US" w:eastAsia="zh-CN"/>
          <w14:textFill>
            <w14:solidFill>
              <w14:schemeClr w14:val="tx1"/>
            </w14:solidFill>
          </w14:textFill>
        </w:rPr>
        <w:t>粮食产量保持在1</w:t>
      </w:r>
      <w:r>
        <w:rPr>
          <w:rFonts w:hint="eastAsia" w:ascii="黑体" w:hAnsi="黑体" w:eastAsia="黑体" w:cs="黑体"/>
          <w:color w:val="000000" w:themeColor="text1"/>
          <w:spacing w:val="0"/>
          <w:w w:val="100"/>
          <w:kern w:val="1"/>
          <w:sz w:val="32"/>
          <w:szCs w:val="32"/>
          <w:highlight w:val="none"/>
          <w:lang w:val="en-US" w:eastAsia="zh-CN"/>
          <w14:textFill>
            <w14:solidFill>
              <w14:schemeClr w14:val="tx1"/>
            </w14:solidFill>
          </w14:textFill>
        </w:rPr>
        <w:t>8</w:t>
      </w:r>
      <w:r>
        <w:rPr>
          <w:rFonts w:hint="default" w:ascii="黑体" w:hAnsi="黑体" w:eastAsia="黑体" w:cs="黑体"/>
          <w:color w:val="000000" w:themeColor="text1"/>
          <w:spacing w:val="0"/>
          <w:w w:val="100"/>
          <w:kern w:val="1"/>
          <w:sz w:val="32"/>
          <w:szCs w:val="32"/>
          <w:highlight w:val="none"/>
          <w:lang w:val="en-US" w:eastAsia="zh-CN"/>
          <w14:textFill>
            <w14:solidFill>
              <w14:schemeClr w14:val="tx1"/>
            </w14:solidFill>
          </w14:textFill>
        </w:rPr>
        <w:t>亿斤以上</w:t>
      </w:r>
      <w:r>
        <w:rPr>
          <w:rFonts w:hint="default" w:ascii="黑体" w:hAnsi="黑体" w:eastAsia="黑体" w:cs="黑体"/>
          <w:color w:val="auto"/>
          <w:spacing w:val="0"/>
          <w:w w:val="100"/>
          <w:kern w:val="1"/>
          <w:sz w:val="32"/>
          <w:szCs w:val="32"/>
          <w:highlight w:val="none"/>
          <w:lang w:val="en-US" w:eastAsia="zh-CN"/>
        </w:rPr>
        <w:t>，居民消费价格涨幅3%左右，单位生产总值能耗与“十四五”目标统筹衔接。</w:t>
      </w:r>
    </w:p>
    <w:p w14:paraId="4F28C179">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w w:val="100"/>
          <w:kern w:val="1"/>
          <w:sz w:val="32"/>
          <w:szCs w:val="32"/>
          <w:highlight w:val="none"/>
          <w:lang w:eastAsia="zh-CN"/>
        </w:rPr>
      </w:pPr>
      <w:r>
        <w:rPr>
          <w:rFonts w:hint="eastAsia" w:ascii="仿宋_GB2312" w:hAnsi="仿宋_GB2312" w:eastAsia="仿宋_GB2312" w:cs="仿宋_GB2312"/>
          <w:color w:val="auto"/>
          <w:spacing w:val="0"/>
          <w:w w:val="100"/>
          <w:kern w:val="1"/>
          <w:sz w:val="32"/>
          <w:szCs w:val="32"/>
          <w:highlight w:val="none"/>
          <w:lang w:val="en-US" w:eastAsia="zh-CN"/>
        </w:rPr>
        <w:t>完成上述目标，必须牢牢把握和坚持以下原则：</w:t>
      </w:r>
      <w:r>
        <w:rPr>
          <w:rFonts w:hint="eastAsia" w:ascii="仿宋_GB2312" w:hAnsi="仿宋_GB2312" w:eastAsia="仿宋_GB2312" w:cs="仿宋_GB2312"/>
          <w:b/>
          <w:bCs/>
          <w:color w:val="auto"/>
          <w:spacing w:val="0"/>
          <w:w w:val="100"/>
          <w:kern w:val="1"/>
          <w:sz w:val="32"/>
          <w:szCs w:val="32"/>
          <w:highlight w:val="none"/>
          <w:lang w:val="en-US" w:eastAsia="zh-CN"/>
        </w:rPr>
        <w:t>一是</w:t>
      </w:r>
      <w:r>
        <w:rPr>
          <w:rFonts w:hint="eastAsia" w:ascii="仿宋_GB2312" w:hAnsi="仿宋_GB2312" w:eastAsia="仿宋_GB2312" w:cs="仿宋_GB2312"/>
          <w:b/>
          <w:bCs/>
          <w:color w:val="auto"/>
          <w:spacing w:val="0"/>
          <w:w w:val="100"/>
          <w:kern w:val="1"/>
          <w:sz w:val="32"/>
          <w:szCs w:val="32"/>
          <w:highlight w:val="none"/>
          <w:lang w:eastAsia="zh-CN"/>
        </w:rPr>
        <w:t>始终坚持稳字当头、稳中求进。</w:t>
      </w:r>
      <w:r>
        <w:rPr>
          <w:rFonts w:hint="eastAsia" w:ascii="仿宋_GB2312" w:hAnsi="仿宋_GB2312" w:eastAsia="仿宋_GB2312" w:cs="仿宋_GB2312"/>
          <w:color w:val="auto"/>
          <w:spacing w:val="0"/>
          <w:w w:val="100"/>
          <w:kern w:val="1"/>
          <w:sz w:val="32"/>
          <w:szCs w:val="32"/>
          <w:highlight w:val="none"/>
          <w:lang w:eastAsia="zh-CN"/>
        </w:rPr>
        <w:t>统筹稳预期、稳工业、稳市场主体、稳财税、稳粮食、稳房地产，激活存量、扩大增量、优化常量、抓好变量，以重点领域之稳确保全局之稳。</w:t>
      </w:r>
      <w:r>
        <w:rPr>
          <w:rFonts w:hint="eastAsia" w:ascii="仿宋_GB2312" w:hAnsi="仿宋_GB2312" w:eastAsia="仿宋_GB2312" w:cs="仿宋_GB2312"/>
          <w:b/>
          <w:bCs/>
          <w:color w:val="auto"/>
          <w:spacing w:val="0"/>
          <w:w w:val="100"/>
          <w:kern w:val="1"/>
          <w:sz w:val="32"/>
          <w:szCs w:val="32"/>
          <w:highlight w:val="none"/>
          <w:lang w:eastAsia="zh-CN"/>
        </w:rPr>
        <w:t>二是始终坚持开放创新、转型升级。</w:t>
      </w:r>
      <w:r>
        <w:rPr>
          <w:rFonts w:hint="eastAsia" w:ascii="仿宋_GB2312" w:hAnsi="仿宋_GB2312" w:eastAsia="仿宋_GB2312" w:cs="仿宋_GB2312"/>
          <w:color w:val="auto"/>
          <w:spacing w:val="0"/>
          <w:w w:val="100"/>
          <w:kern w:val="1"/>
          <w:sz w:val="32"/>
          <w:szCs w:val="32"/>
          <w:highlight w:val="none"/>
          <w:lang w:eastAsia="zh-CN"/>
        </w:rPr>
        <w:t>紧抓构建新发展格局的战略机遇、沈丘经济社会高质量发展的历史机遇，加快建设现代化经济体系，将扩大内需同深化供给侧结构性改革有机结合起来，更好发挥开发区主阵地、主战场、主引擎作用，着力提高全要素生产率，着力提升产业链供应链韧性和安全水平，推动传统产业提质发展、新兴产业培育壮大、未来产业谋篇布局。</w:t>
      </w:r>
      <w:r>
        <w:rPr>
          <w:rFonts w:hint="eastAsia" w:ascii="仿宋_GB2312" w:hAnsi="仿宋_GB2312" w:eastAsia="仿宋_GB2312" w:cs="仿宋_GB2312"/>
          <w:b/>
          <w:bCs/>
          <w:color w:val="auto"/>
          <w:spacing w:val="0"/>
          <w:w w:val="100"/>
          <w:kern w:val="1"/>
          <w:sz w:val="32"/>
          <w:szCs w:val="32"/>
          <w:highlight w:val="none"/>
          <w:lang w:eastAsia="zh-CN"/>
        </w:rPr>
        <w:t>三是始终坚持系统思维、统筹协调。</w:t>
      </w:r>
      <w:r>
        <w:rPr>
          <w:rFonts w:hint="eastAsia" w:ascii="仿宋_GB2312" w:hAnsi="仿宋_GB2312" w:eastAsia="仿宋_GB2312" w:cs="仿宋_GB2312"/>
          <w:color w:val="auto"/>
          <w:spacing w:val="0"/>
          <w:w w:val="100"/>
          <w:kern w:val="1"/>
          <w:sz w:val="32"/>
          <w:szCs w:val="32"/>
          <w:highlight w:val="none"/>
          <w:lang w:eastAsia="zh-CN"/>
        </w:rPr>
        <w:t>牢牢把握“五位一体”总体布局和“四个全面”战略布局，统筹发展和安全，把握当前与长远、规划与建设、财力增长与涵养税源、资源节约与高效利用、能耗双控和能源保供，保证各项工作协调推进。持续增强忧患意识、风险意识，强化系统思维、底线思维，见微知著、先立后破、抓早抓小，避免发生重大风险。</w:t>
      </w:r>
      <w:r>
        <w:rPr>
          <w:rFonts w:hint="eastAsia" w:ascii="仿宋_GB2312" w:hAnsi="仿宋_GB2312" w:eastAsia="仿宋_GB2312" w:cs="仿宋_GB2312"/>
          <w:b/>
          <w:bCs/>
          <w:color w:val="auto"/>
          <w:spacing w:val="0"/>
          <w:w w:val="100"/>
          <w:kern w:val="1"/>
          <w:sz w:val="32"/>
          <w:szCs w:val="32"/>
          <w:highlight w:val="none"/>
          <w:lang w:eastAsia="zh-CN"/>
        </w:rPr>
        <w:t>四是始终坚持以人为本、民生优先。</w:t>
      </w:r>
      <w:r>
        <w:rPr>
          <w:rFonts w:hint="eastAsia" w:ascii="仿宋_GB2312" w:hAnsi="仿宋_GB2312" w:eastAsia="仿宋_GB2312" w:cs="仿宋_GB2312"/>
          <w:color w:val="auto"/>
          <w:spacing w:val="0"/>
          <w:w w:val="100"/>
          <w:kern w:val="1"/>
          <w:sz w:val="32"/>
          <w:szCs w:val="32"/>
          <w:highlight w:val="none"/>
          <w:lang w:eastAsia="zh-CN"/>
        </w:rPr>
        <w:t>深入贯彻以人民为中心的发展思想，在幼有所育、学有所教、劳有所得、病有所医、老有所养、住有所居、弱有所扶上持续用力，坚持政府带头过紧日子，压减非急需、非刚性支出，把更多财力用于加强普惠性、兜底性民生事项，让改革发展成果更多更公平惠及全县人民。</w:t>
      </w:r>
    </w:p>
    <w:p w14:paraId="0CD34D79">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w w:val="100"/>
          <w:kern w:val="1"/>
          <w:sz w:val="32"/>
          <w:szCs w:val="32"/>
          <w:highlight w:val="none"/>
          <w:lang w:eastAsia="zh-CN"/>
        </w:rPr>
      </w:pPr>
    </w:p>
    <w:p w14:paraId="428ED27C">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right="0" w:rightChars="0"/>
        <w:jc w:val="center"/>
        <w:textAlignment w:val="auto"/>
        <w:outlineLvl w:val="9"/>
        <w:rPr>
          <w:rFonts w:hint="eastAsia" w:ascii="黑体" w:hAnsi="黑体" w:eastAsia="黑体" w:cs="黑体"/>
          <w:color w:val="000000" w:themeColor="text1"/>
          <w:spacing w:val="0"/>
          <w:w w:val="100"/>
          <w:sz w:val="32"/>
          <w:szCs w:val="32"/>
          <w:highlight w:val="none"/>
          <w:u w:val="none" w:color="auto"/>
          <w:lang w:eastAsia="zh-CN"/>
          <w14:textFill>
            <w14:solidFill>
              <w14:schemeClr w14:val="tx1"/>
            </w14:solidFill>
          </w14:textFill>
        </w:rPr>
      </w:pPr>
      <w:r>
        <w:rPr>
          <w:rFonts w:hint="eastAsia" w:ascii="黑体" w:hAnsi="黑体" w:eastAsia="黑体" w:cs="黑体"/>
          <w:color w:val="000000" w:themeColor="text1"/>
          <w:spacing w:val="0"/>
          <w:w w:val="100"/>
          <w:sz w:val="32"/>
          <w:szCs w:val="32"/>
          <w:highlight w:val="none"/>
          <w:u w:val="none" w:color="auto"/>
          <w:lang w:eastAsia="zh-CN"/>
          <w14:textFill>
            <w14:solidFill>
              <w14:schemeClr w14:val="tx1"/>
            </w14:solidFill>
          </w14:textFill>
        </w:rPr>
        <w:t>三、202</w:t>
      </w:r>
      <w:r>
        <w:rPr>
          <w:rFonts w:hint="eastAsia" w:ascii="黑体" w:hAnsi="黑体" w:eastAsia="黑体" w:cs="黑体"/>
          <w:color w:val="000000" w:themeColor="text1"/>
          <w:spacing w:val="0"/>
          <w:w w:val="100"/>
          <w:sz w:val="32"/>
          <w:szCs w:val="32"/>
          <w:highlight w:val="none"/>
          <w:u w:val="none" w:color="auto"/>
          <w:lang w:val="en-US" w:eastAsia="zh-CN"/>
          <w14:textFill>
            <w14:solidFill>
              <w14:schemeClr w14:val="tx1"/>
            </w14:solidFill>
          </w14:textFill>
        </w:rPr>
        <w:t>3</w:t>
      </w:r>
      <w:r>
        <w:rPr>
          <w:rFonts w:hint="eastAsia" w:ascii="黑体" w:hAnsi="黑体" w:eastAsia="黑体" w:cs="黑体"/>
          <w:color w:val="000000" w:themeColor="text1"/>
          <w:spacing w:val="0"/>
          <w:w w:val="100"/>
          <w:sz w:val="32"/>
          <w:szCs w:val="32"/>
          <w:highlight w:val="none"/>
          <w:u w:val="none" w:color="auto"/>
          <w:lang w:eastAsia="zh-CN"/>
          <w14:textFill>
            <w14:solidFill>
              <w14:schemeClr w14:val="tx1"/>
            </w14:solidFill>
          </w14:textFill>
        </w:rPr>
        <w:t>年政府重点工作</w:t>
      </w:r>
    </w:p>
    <w:p w14:paraId="68BC0D0B">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w w:val="100"/>
          <w:kern w:val="1"/>
          <w:sz w:val="32"/>
          <w:szCs w:val="32"/>
          <w:highlight w:val="none"/>
          <w:lang w:eastAsia="zh-CN"/>
        </w:rPr>
      </w:pPr>
    </w:p>
    <w:p w14:paraId="4F1795DC">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w w:val="100"/>
          <w:kern w:val="1"/>
          <w:sz w:val="32"/>
          <w:szCs w:val="32"/>
          <w:highlight w:val="none"/>
          <w:lang w:eastAsia="zh-CN"/>
        </w:rPr>
      </w:pPr>
      <w:r>
        <w:rPr>
          <w:rFonts w:hint="eastAsia" w:ascii="仿宋_GB2312" w:hAnsi="仿宋_GB2312" w:eastAsia="仿宋_GB2312" w:cs="仿宋_GB2312"/>
          <w:color w:val="auto"/>
          <w:spacing w:val="0"/>
          <w:w w:val="100"/>
          <w:kern w:val="1"/>
          <w:sz w:val="32"/>
          <w:szCs w:val="32"/>
          <w:highlight w:val="none"/>
          <w:lang w:eastAsia="zh-CN"/>
        </w:rPr>
        <w:t>围绕今年的发展目标，重点抓好以下工作：</w:t>
      </w:r>
    </w:p>
    <w:p w14:paraId="0B153B08">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3"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t>（一）保持经济运营在合理区间</w:t>
      </w:r>
    </w:p>
    <w:p w14:paraId="00C52400">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autoSpaceDE w:val="0"/>
        <w:autoSpaceDN/>
        <w:bidi w:val="0"/>
        <w:adjustRightInd/>
        <w:snapToGrid/>
        <w:spacing w:before="0" w:line="600" w:lineRule="exact"/>
        <w:ind w:left="0" w:leftChars="0" w:right="0" w:rightChars="0" w:firstLine="643" w:firstLineChars="200"/>
        <w:jc w:val="both"/>
        <w:textAlignment w:val="auto"/>
        <w:outlineLvl w:val="9"/>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pPr>
      <w:r>
        <w:rPr>
          <w:rFonts w:hint="eastAsia" w:ascii="仿宋_GB2312" w:hAnsi="仿宋_GB2312" w:eastAsia="仿宋_GB2312" w:cs="仿宋_GB2312"/>
          <w:b/>
          <w:bCs/>
          <w:color w:val="auto"/>
          <w:sz w:val="32"/>
          <w:szCs w:val="32"/>
          <w:highlight w:val="none"/>
          <w:lang w:val="en-US" w:eastAsia="zh-CN"/>
        </w:rPr>
        <w:t>全力推进重点项目建设。</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加强项目储备和招商，围绕钢铁、食品加工、电子信息三大产业和重大基础设施建设，对照国家产业政策、投资导向、支持方向，进一步强化优质项目储备和招商。发挥沈丘对接长三角、连接“海上丝绸之路”的战略支点优势，突出产业链集群招商、龙头企业招商、股权投资招商等方式，着力引进一批投资强度大、技术含量高、税源收入多、关联性强的项目。加大标准化厂房建设力度，以政府重资产、企业轻资产的方式，吸引更多产业集群落户，着力构建“科技+资本+产业”生态链，形成“签约一批、开工一批、达产一批”的梯次推进格局。强化要素资源保障，实行“联审联批”，统筹解决好项目立项、环评、能评、选址、用地等问题，保障好项目实施。开展国土空间综合整治，加强</w:t>
      </w:r>
      <w:r>
        <w:rPr>
          <w:rFonts w:hint="eastAsia" w:ascii="仿宋_GB2312" w:hAnsi="仿宋_GB2312" w:eastAsia="仿宋_GB2312" w:cs="仿宋_GB2312"/>
          <w:b w:val="0"/>
          <w:bCs w:val="0"/>
          <w:color w:val="000000" w:themeColor="text1"/>
          <w:spacing w:val="0"/>
          <w:kern w:val="0"/>
          <w:sz w:val="32"/>
          <w:szCs w:val="32"/>
          <w:highlight w:val="none"/>
          <w:u w:val="none" w:color="auto"/>
          <w:shd w:val="clear" w:color="auto" w:fill="FFFFFF"/>
          <w:lang w:val="en-US" w:eastAsia="zh-CN"/>
          <w14:textFill>
            <w14:solidFill>
              <w14:schemeClr w14:val="tx1"/>
            </w14:solidFill>
          </w14:textFill>
        </w:rPr>
        <w:t>低效工业用地治理，</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扩大增量，盘活存量，储备不低于1000亩的工业“熟地”，确保主导产业项目用地“需用即供”。以“三个一批”和省市重点项目为重点，稳步推行“容缺办理”，实现项目拿地即开工。</w:t>
      </w:r>
    </w:p>
    <w:p w14:paraId="16FE405A">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autoSpaceDE w:val="0"/>
        <w:autoSpaceDN/>
        <w:bidi w:val="0"/>
        <w:adjustRightInd/>
        <w:snapToGrid/>
        <w:spacing w:before="0" w:line="600" w:lineRule="exact"/>
        <w:ind w:left="0" w:leftChars="0" w:right="0" w:rightChars="0" w:firstLine="643" w:firstLineChars="200"/>
        <w:jc w:val="both"/>
        <w:textAlignment w:val="auto"/>
        <w:outlineLvl w:val="9"/>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bCs/>
          <w:color w:val="auto"/>
          <w:kern w:val="2"/>
          <w:sz w:val="32"/>
          <w:szCs w:val="32"/>
          <w:highlight w:val="none"/>
          <w:lang w:val="en-US" w:eastAsia="zh-CN" w:bidi="ar-SA"/>
        </w:rPr>
        <w:t>强化产业支撑引领。</w:t>
      </w:r>
      <w:r>
        <w:rPr>
          <w:rFonts w:hint="eastAsia" w:ascii="仿宋_GB2312" w:hAnsi="仿宋_GB2312" w:eastAsia="仿宋_GB2312" w:cs="仿宋_GB2312"/>
          <w:b/>
          <w:bCs/>
          <w:color w:val="000000" w:themeColor="text1"/>
          <w:sz w:val="32"/>
          <w:szCs w:val="32"/>
          <w:highlight w:val="none"/>
          <w:u w:val="none" w:color="auto"/>
          <w:lang w:val="en-US" w:eastAsia="zh-CN"/>
          <w14:textFill>
            <w14:solidFill>
              <w14:schemeClr w14:val="tx1"/>
            </w14:solidFill>
          </w14:textFill>
        </w:rPr>
        <w:t>推动钢铁产业快速发展。</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推进周钢一期二步建设，及早实现钢产能500万吨生产目标。强化钢铁产业延链补链招商力度，加快周钢1000万吨级汽车钢和硅钢电磁新材料生产基地建设，推进总投资10亿元的久亿矿山机械开工建设，推进投资45亿元的中国船舶集团船舶制造和投资5亿元的中煤科工钻机制造等项目签约落地。完成东寨、西寨拆迁工作。高位谋划钢铁新城，打造产城人文同步发展、区域联动的发展格局。</w:t>
      </w:r>
      <w:r>
        <w:rPr>
          <w:rFonts w:hint="default" w:ascii="Times New Roman" w:hAnsi="Times New Roman" w:eastAsia="楷体_GB2312" w:cs="Times New Roman"/>
          <w:b/>
          <w:bCs/>
          <w:i w:val="0"/>
          <w:iCs w:val="0"/>
          <w:color w:val="000000" w:themeColor="text1"/>
          <w:spacing w:val="0"/>
          <w:sz w:val="32"/>
          <w:szCs w:val="32"/>
          <w:highlight w:val="none"/>
          <w:u w:val="none" w:color="auto"/>
          <w:lang w:val="en-US" w:eastAsia="zh-CN"/>
          <w14:textFill>
            <w14:solidFill>
              <w14:schemeClr w14:val="tx1"/>
            </w14:solidFill>
          </w14:textFill>
        </w:rPr>
        <w:t>培育</w:t>
      </w:r>
      <w:r>
        <w:rPr>
          <w:rFonts w:hint="eastAsia" w:ascii="Times New Roman" w:hAnsi="Times New Roman" w:eastAsia="楷体_GB2312" w:cs="Times New Roman"/>
          <w:b/>
          <w:bCs/>
          <w:i w:val="0"/>
          <w:iCs w:val="0"/>
          <w:color w:val="000000" w:themeColor="text1"/>
          <w:spacing w:val="0"/>
          <w:sz w:val="32"/>
          <w:szCs w:val="32"/>
          <w:highlight w:val="none"/>
          <w:u w:val="none" w:color="auto"/>
          <w:lang w:val="en-US" w:eastAsia="zh-CN"/>
          <w14:textFill>
            <w14:solidFill>
              <w14:schemeClr w14:val="tx1"/>
            </w14:solidFill>
          </w14:textFill>
        </w:rPr>
        <w:t>壮大</w:t>
      </w:r>
      <w:r>
        <w:rPr>
          <w:rFonts w:hint="default" w:ascii="Times New Roman" w:hAnsi="Times New Roman" w:eastAsia="楷体_GB2312" w:cs="Times New Roman"/>
          <w:b/>
          <w:bCs/>
          <w:i w:val="0"/>
          <w:iCs w:val="0"/>
          <w:color w:val="000000" w:themeColor="text1"/>
          <w:spacing w:val="0"/>
          <w:sz w:val="32"/>
          <w:szCs w:val="32"/>
          <w:highlight w:val="none"/>
          <w:u w:val="none" w:color="auto"/>
          <w:lang w:val="en-US" w:eastAsia="zh-CN"/>
          <w14:textFill>
            <w14:solidFill>
              <w14:schemeClr w14:val="tx1"/>
            </w14:solidFill>
          </w14:textFill>
        </w:rPr>
        <w:t>食品产业</w:t>
      </w:r>
      <w:r>
        <w:rPr>
          <w:rFonts w:hint="eastAsia" w:ascii="Times New Roman" w:hAnsi="Times New Roman" w:eastAsia="楷体_GB2312" w:cs="Times New Roman"/>
          <w:b/>
          <w:bCs/>
          <w:i w:val="0"/>
          <w:iCs w:val="0"/>
          <w:color w:val="000000" w:themeColor="text1"/>
          <w:spacing w:val="0"/>
          <w:sz w:val="32"/>
          <w:szCs w:val="32"/>
          <w:highlight w:val="none"/>
          <w:u w:val="none" w:color="auto"/>
          <w:lang w:val="en-US" w:eastAsia="zh-CN"/>
          <w14:textFill>
            <w14:solidFill>
              <w14:schemeClr w14:val="tx1"/>
            </w14:solidFill>
          </w14:textFill>
        </w:rPr>
        <w:t>。</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以金丝猴、雪荣面粉为龙头，加快食品产业集群培育。重点抓好总投资20亿元的高端休闲食品产业园项目建设，确保总投资10亿元、年产值60亿元的瑞茂通植物蛋白项目建成投产</w:t>
      </w:r>
      <w:r>
        <w:rPr>
          <w:rFonts w:hint="eastAsia" w:ascii="仿宋_GB2312" w:hAnsi="仿宋_GB2312" w:eastAsia="仿宋_GB2312" w:cs="仿宋_GB2312"/>
          <w:b w:val="0"/>
          <w:bCs w:val="0"/>
          <w:color w:val="000000" w:themeColor="text1"/>
          <w:sz w:val="32"/>
          <w:szCs w:val="32"/>
          <w:highlight w:val="none"/>
          <w:u w:val="none" w:color="auto"/>
          <w:lang w:val="en" w:eastAsia="zh-CN"/>
          <w14:textFill>
            <w14:solidFill>
              <w14:schemeClr w14:val="tx1"/>
            </w14:solidFill>
          </w14:textFill>
        </w:rPr>
        <w:t>，推进</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“馋点小站”食品项目及早开工，持续壮大百亿级食品产业集群实力。</w:t>
      </w:r>
      <w:r>
        <w:rPr>
          <w:rFonts w:hint="eastAsia" w:ascii="仿宋_GB2312" w:hAnsi="仿宋_GB2312" w:eastAsia="仿宋_GB2312" w:cs="仿宋_GB2312"/>
          <w:b/>
          <w:bCs/>
          <w:color w:val="000000" w:themeColor="text1"/>
          <w:sz w:val="32"/>
          <w:szCs w:val="32"/>
          <w:highlight w:val="none"/>
          <w:u w:val="none" w:color="auto"/>
          <w:lang w:val="en-US" w:eastAsia="zh-CN"/>
          <w14:textFill>
            <w14:solidFill>
              <w14:schemeClr w14:val="tx1"/>
            </w14:solidFill>
          </w14:textFill>
        </w:rPr>
        <w:t>推动先进制造业高质量发展。</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加快凯旺二期建成投产，争取五年内产值达到50亿元、利税达到10亿元。推进国网自控、万达智能装备、</w:t>
      </w:r>
      <w:r>
        <w:rPr>
          <w:rFonts w:hint="default"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佛山新能源</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w:t>
      </w:r>
      <w:r>
        <w:rPr>
          <w:rFonts w:hint="default"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泰燃智能科技</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、芜湖功能性新材料等项目建设，争取早日实现百亿级产业集群。</w:t>
      </w:r>
    </w:p>
    <w:p w14:paraId="26BD33ED">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autoSpaceDE w:val="0"/>
        <w:autoSpaceDN/>
        <w:bidi w:val="0"/>
        <w:adjustRightInd/>
        <w:snapToGrid/>
        <w:spacing w:before="0" w:line="600" w:lineRule="exact"/>
        <w:ind w:left="0" w:leftChars="0" w:right="0" w:rightChars="0" w:firstLine="643" w:firstLineChars="200"/>
        <w:jc w:val="both"/>
        <w:textAlignment w:val="auto"/>
        <w:outlineLvl w:val="9"/>
        <w:rPr>
          <w:rFonts w:hint="eastAsia" w:ascii="仿宋_GB2312" w:hAnsi="仿宋_GB2312" w:eastAsia="仿宋_GB2312" w:cs="仿宋_GB2312"/>
          <w:color w:val="auto"/>
          <w:spacing w:val="0"/>
          <w:w w:val="100"/>
          <w:kern w:val="1"/>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培育壮大市场主体。</w:t>
      </w:r>
      <w:r>
        <w:rPr>
          <w:rFonts w:hint="eastAsia" w:ascii="仿宋_GB2312" w:hAnsi="仿宋_GB2312" w:eastAsia="仿宋_GB2312" w:cs="仿宋_GB2312"/>
          <w:color w:val="auto"/>
          <w:spacing w:val="0"/>
          <w:w w:val="100"/>
          <w:kern w:val="1"/>
          <w:sz w:val="32"/>
          <w:szCs w:val="32"/>
          <w:highlight w:val="none"/>
          <w:lang w:val="en-US" w:eastAsia="zh-CN"/>
        </w:rPr>
        <w:t>深化“万人助万企”活动，落实好新的减税降费政策，严控涉企收费，持续整治拖欠中小企业账款行为。梯度培育优质企业，加大“个转企、小升规、规改股、股上市”推进力度，培育更多“专精特新”和单项冠军企业。支持金丝猴食品、晶鑫科技等企业挂牌上市，拓宽企业融资渠道，降低企业融资成本。</w:t>
      </w:r>
    </w:p>
    <w:p w14:paraId="1617F78A">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autoSpaceDE w:val="0"/>
        <w:autoSpaceDN/>
        <w:bidi w:val="0"/>
        <w:adjustRightInd/>
        <w:snapToGrid/>
        <w:spacing w:before="0" w:line="600" w:lineRule="exact"/>
        <w:ind w:left="0" w:leftChars="0" w:right="0" w:rightChars="0" w:firstLine="643" w:firstLineChars="200"/>
        <w:jc w:val="both"/>
        <w:textAlignment w:val="auto"/>
        <w:outlineLvl w:val="9"/>
        <w:rPr>
          <w:rFonts w:hint="eastAsia" w:ascii="仿宋_GB2312" w:hAnsi="仿宋_GB2312" w:eastAsia="仿宋_GB2312" w:cs="仿宋_GB2312"/>
          <w:color w:val="000000" w:themeColor="text1"/>
          <w:kern w:val="2"/>
          <w:sz w:val="32"/>
          <w:szCs w:val="32"/>
          <w:highlight w:val="none"/>
          <w:u w:val="none" w:color="auto"/>
          <w:lang w:val="en" w:eastAsia="zh-CN" w:bidi="ar-SA"/>
          <w14:textFill>
            <w14:solidFill>
              <w14:schemeClr w14:val="tx1"/>
            </w14:solidFill>
          </w14:textFill>
        </w:rPr>
      </w:pPr>
      <w:r>
        <w:rPr>
          <w:rFonts w:hint="eastAsia" w:ascii="仿宋_GB2312" w:hAnsi="仿宋_GB2312" w:eastAsia="仿宋_GB2312" w:cs="仿宋_GB2312"/>
          <w:b/>
          <w:bCs/>
          <w:color w:val="000000" w:themeColor="text1"/>
          <w:sz w:val="32"/>
          <w:szCs w:val="32"/>
          <w:highlight w:val="none"/>
          <w:u w:val="none" w:color="auto"/>
          <w:lang w:val="en-US" w:eastAsia="zh-CN"/>
          <w14:textFill>
            <w14:solidFill>
              <w14:schemeClr w14:val="tx1"/>
            </w14:solidFill>
          </w14:textFill>
        </w:rPr>
        <w:t>多措并举扩大消费。</w:t>
      </w:r>
      <w:r>
        <w:rPr>
          <w:rFonts w:hint="eastAsia" w:ascii="仿宋_GB2312" w:hAnsi="仿宋_GB2312" w:eastAsia="仿宋_GB2312" w:cs="仿宋_GB2312"/>
          <w:b w:val="0"/>
          <w:bCs w:val="0"/>
          <w:color w:val="auto"/>
          <w:spacing w:val="0"/>
          <w:kern w:val="0"/>
          <w:sz w:val="32"/>
          <w:szCs w:val="32"/>
          <w:highlight w:val="none"/>
          <w:u w:val="none" w:color="auto"/>
          <w:lang w:val="en-US" w:eastAsia="zh-CN"/>
        </w:rPr>
        <w:t>出台</w:t>
      </w:r>
      <w:r>
        <w:rPr>
          <w:rFonts w:hint="eastAsia" w:ascii="仿宋_GB2312" w:hAnsi="仿宋_GB2312" w:eastAsia="仿宋_GB2312" w:cs="仿宋_GB2312"/>
          <w:color w:val="auto"/>
          <w:sz w:val="32"/>
          <w:szCs w:val="32"/>
          <w:highlight w:val="none"/>
          <w:u w:val="none" w:color="auto"/>
          <w:lang w:val="en-US" w:eastAsia="zh-CN"/>
        </w:rPr>
        <w:t>汽车、家电、房地产、餐饮、文旅等行业</w:t>
      </w:r>
      <w:r>
        <w:rPr>
          <w:rFonts w:hint="eastAsia" w:ascii="仿宋_GB2312" w:hAnsi="仿宋_GB2312" w:eastAsia="仿宋_GB2312" w:cs="仿宋_GB2312"/>
          <w:b w:val="0"/>
          <w:bCs w:val="0"/>
          <w:color w:val="auto"/>
          <w:spacing w:val="0"/>
          <w:kern w:val="0"/>
          <w:sz w:val="32"/>
          <w:szCs w:val="32"/>
          <w:highlight w:val="none"/>
          <w:u w:val="none" w:color="auto"/>
          <w:lang w:val="en-US" w:eastAsia="zh-CN"/>
        </w:rPr>
        <w:t>促消费活动工作方案，</w:t>
      </w:r>
      <w:r>
        <w:rPr>
          <w:rFonts w:hint="eastAsia" w:ascii="仿宋_GB2312" w:hAnsi="仿宋_GB2312" w:eastAsia="仿宋_GB2312" w:cs="仿宋_GB2312"/>
          <w:kern w:val="0"/>
          <w:sz w:val="32"/>
          <w:szCs w:val="32"/>
          <w:highlight w:val="none"/>
        </w:rPr>
        <w:t>发挥“直播沈丘”平台资源优势，</w:t>
      </w:r>
      <w:r>
        <w:rPr>
          <w:rFonts w:hint="eastAsia" w:ascii="仿宋_GB2312" w:hAnsi="仿宋_GB2312" w:eastAsia="仿宋_GB2312" w:cs="仿宋_GB2312"/>
          <w:b w:val="0"/>
          <w:bCs w:val="0"/>
          <w:color w:val="auto"/>
          <w:spacing w:val="0"/>
          <w:kern w:val="0"/>
          <w:sz w:val="32"/>
          <w:szCs w:val="32"/>
          <w:highlight w:val="none"/>
          <w:u w:val="none" w:color="auto"/>
        </w:rPr>
        <w:t>采取线上营销、联动促销、产销对接等系列举措</w:t>
      </w:r>
      <w:r>
        <w:rPr>
          <w:rFonts w:hint="eastAsia" w:ascii="仿宋_GB2312" w:hAnsi="仿宋_GB2312" w:eastAsia="仿宋_GB2312" w:cs="仿宋_GB2312"/>
          <w:b w:val="0"/>
          <w:bCs w:val="0"/>
          <w:color w:val="auto"/>
          <w:spacing w:val="0"/>
          <w:kern w:val="0"/>
          <w:sz w:val="32"/>
          <w:szCs w:val="32"/>
          <w:highlight w:val="none"/>
          <w:u w:val="none" w:color="auto"/>
          <w:lang w:eastAsia="zh-CN"/>
        </w:rPr>
        <w:t>，</w:t>
      </w:r>
      <w:r>
        <w:rPr>
          <w:rFonts w:hint="eastAsia" w:ascii="仿宋_GB2312" w:hAnsi="仿宋_GB2312" w:eastAsia="仿宋_GB2312" w:cs="仿宋_GB2312"/>
          <w:b w:val="0"/>
          <w:bCs w:val="0"/>
          <w:kern w:val="0"/>
          <w:sz w:val="32"/>
          <w:szCs w:val="32"/>
          <w:highlight w:val="none"/>
          <w:u w:val="none" w:color="auto"/>
          <w:lang w:val="en-US" w:eastAsia="zh-CN"/>
        </w:rPr>
        <w:t>发放“爱心消费券”</w:t>
      </w:r>
      <w:r>
        <w:rPr>
          <w:rFonts w:hint="eastAsia" w:ascii="仿宋_GB2312" w:hAnsi="仿宋_GB2312" w:eastAsia="仿宋_GB2312" w:cs="仿宋_GB2312"/>
          <w:kern w:val="1"/>
          <w:sz w:val="32"/>
          <w:szCs w:val="32"/>
          <w:highlight w:val="none"/>
        </w:rPr>
        <w:t>。</w:t>
      </w:r>
      <w:r>
        <w:rPr>
          <w:rFonts w:hint="eastAsia" w:ascii="仿宋_GB2312" w:hAnsi="仿宋_GB2312" w:eastAsia="仿宋_GB2312" w:cs="仿宋_GB2312"/>
          <w:b w:val="0"/>
          <w:bCs w:val="0"/>
          <w:color w:val="auto"/>
          <w:spacing w:val="0"/>
          <w:kern w:val="0"/>
          <w:sz w:val="32"/>
          <w:szCs w:val="32"/>
          <w:highlight w:val="none"/>
          <w:u w:val="none" w:color="auto"/>
        </w:rPr>
        <w:t>探索建立“政银企”联合促消费长效机制，促进绿色智能家电下乡和以旧换新</w:t>
      </w:r>
      <w:r>
        <w:rPr>
          <w:rFonts w:hint="eastAsia" w:ascii="仿宋_GB2312" w:hAnsi="仿宋_GB2312" w:eastAsia="仿宋_GB2312" w:cs="仿宋_GB2312"/>
          <w:b w:val="0"/>
          <w:bCs w:val="0"/>
          <w:color w:val="auto"/>
          <w:spacing w:val="0"/>
          <w:kern w:val="0"/>
          <w:sz w:val="32"/>
          <w:szCs w:val="32"/>
          <w:highlight w:val="none"/>
          <w:u w:val="none" w:color="auto"/>
          <w:lang w:eastAsia="zh-CN"/>
        </w:rPr>
        <w:t>，</w:t>
      </w:r>
      <w:r>
        <w:rPr>
          <w:rFonts w:hint="eastAsia" w:ascii="仿宋_GB2312" w:hAnsi="仿宋_GB2312" w:eastAsia="仿宋_GB2312" w:cs="仿宋_GB2312"/>
          <w:color w:val="auto"/>
          <w:sz w:val="32"/>
          <w:szCs w:val="32"/>
          <w:highlight w:val="none"/>
          <w:u w:val="none" w:color="auto"/>
          <w:lang w:val="en-US" w:eastAsia="zh-CN"/>
        </w:rPr>
        <w:t>充分释放消费需求。</w:t>
      </w:r>
      <w:r>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培育新型消费和服务消费，</w:t>
      </w:r>
      <w:r>
        <w:rPr>
          <w:rFonts w:hint="eastAsia" w:ascii="仿宋_GB2312" w:hAnsi="仿宋_GB2312" w:eastAsia="仿宋_GB2312" w:cs="仿宋_GB2312"/>
          <w:color w:val="000000" w:themeColor="text1"/>
          <w:kern w:val="2"/>
          <w:sz w:val="32"/>
          <w:szCs w:val="32"/>
          <w:highlight w:val="none"/>
          <w:u w:val="none" w:color="auto"/>
          <w:lang w:val="en-US" w:eastAsia="zh-CN" w:bidi="ar-SA"/>
          <w14:textFill>
            <w14:solidFill>
              <w14:schemeClr w14:val="tx1"/>
            </w14:solidFill>
          </w14:textFill>
        </w:rPr>
        <w:t>发展</w:t>
      </w:r>
      <w:r>
        <w:rPr>
          <w:rFonts w:hint="eastAsia" w:ascii="仿宋_GB2312" w:hAnsi="仿宋_GB2312" w:eastAsia="仿宋_GB2312" w:cs="仿宋_GB2312"/>
          <w:color w:val="000000" w:themeColor="text1"/>
          <w:sz w:val="32"/>
          <w:szCs w:val="32"/>
          <w:highlight w:val="none"/>
          <w14:textFill>
            <w14:solidFill>
              <w14:schemeClr w14:val="tx1"/>
            </w14:solidFill>
          </w14:textFill>
        </w:rPr>
        <w:t>直播基地、</w:t>
      </w:r>
      <w:r>
        <w:rPr>
          <w:rFonts w:hint="eastAsia" w:ascii="仿宋_GB2312" w:hAnsi="仿宋_GB2312" w:eastAsia="仿宋_GB2312" w:cs="仿宋_GB2312"/>
          <w:color w:val="000000" w:themeColor="text1"/>
          <w:kern w:val="2"/>
          <w:sz w:val="32"/>
          <w:szCs w:val="32"/>
          <w:highlight w:val="none"/>
          <w:u w:val="none" w:color="auto"/>
          <w:lang w:val="en-US" w:eastAsia="zh-CN" w:bidi="ar-SA"/>
          <w14:textFill>
            <w14:solidFill>
              <w14:schemeClr w14:val="tx1"/>
            </w14:solidFill>
          </w14:textFill>
        </w:rPr>
        <w:t>直播电商、社交电商，</w:t>
      </w:r>
      <w:r>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增加养老育幼服务消费，</w:t>
      </w:r>
      <w:r>
        <w:rPr>
          <w:rFonts w:hint="eastAsia" w:ascii="仿宋_GB2312" w:hAnsi="仿宋_GB2312" w:eastAsia="仿宋_GB2312" w:cs="仿宋_GB2312"/>
          <w:color w:val="000000" w:themeColor="text1"/>
          <w:kern w:val="2"/>
          <w:sz w:val="32"/>
          <w:szCs w:val="32"/>
          <w:highlight w:val="none"/>
          <w:u w:val="none" w:color="auto"/>
          <w:lang w:val="en-US" w:eastAsia="zh-CN" w:bidi="ar-SA"/>
          <w14:textFill>
            <w14:solidFill>
              <w14:schemeClr w14:val="tx1"/>
            </w14:solidFill>
          </w14:textFill>
        </w:rPr>
        <w:t>促进家政、物业等生活性服务业公司化、规模化发展。</w:t>
      </w:r>
    </w:p>
    <w:p w14:paraId="2C1B8E48">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autoSpaceDE w:val="0"/>
        <w:autoSpaceDN/>
        <w:bidi w:val="0"/>
        <w:adjustRightInd/>
        <w:snapToGrid/>
        <w:spacing w:before="0" w:line="600" w:lineRule="exact"/>
        <w:ind w:left="0" w:leftChars="0" w:right="0" w:rightChars="0" w:firstLine="643" w:firstLineChars="200"/>
        <w:jc w:val="both"/>
        <w:textAlignment w:val="auto"/>
        <w:outlineLvl w:val="9"/>
        <w:rPr>
          <w:rFonts w:hint="eastAsia" w:ascii="仿宋_GB2312" w:hAnsi="仿宋_GB2312" w:eastAsia="仿宋_GB2312" w:cs="仿宋_GB2312"/>
          <w:color w:val="auto"/>
          <w:spacing w:val="0"/>
          <w:w w:val="100"/>
          <w:kern w:val="1"/>
          <w:sz w:val="32"/>
          <w:szCs w:val="32"/>
          <w:highlight w:val="none"/>
          <w:lang w:val="en-US" w:eastAsia="zh-CN" w:bidi="ar-SA"/>
        </w:rPr>
      </w:pPr>
      <w:r>
        <w:rPr>
          <w:rFonts w:hint="eastAsia" w:ascii="仿宋_GB2312" w:hAnsi="仿宋_GB2312" w:eastAsia="仿宋_GB2312" w:cs="仿宋_GB2312"/>
          <w:b/>
          <w:bCs/>
          <w:color w:val="auto"/>
          <w:sz w:val="32"/>
          <w:szCs w:val="32"/>
          <w:highlight w:val="none"/>
          <w:lang w:val="en-US" w:eastAsia="zh-CN"/>
        </w:rPr>
        <w:t>着力加强统计工作。</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强化经济运行各项数据的收集整理与分析评估，进一步提升GDP核算监测水平，准确反映经济运行现状。围绕重点行业、重点企业加强监测，分领域分行业制定对策、建立台账，确保完成预期目标。充分发挥七个统计专班作用，完善“部门主管、统计指导、企业直报”机制，建立健全统计台账，实事求是反映经济运行情况。</w:t>
      </w:r>
      <w:r>
        <w:rPr>
          <w:rFonts w:hint="eastAsia" w:ascii="仿宋_GB2312" w:hAnsi="仿宋_GB2312" w:eastAsia="仿宋_GB2312" w:cs="仿宋_GB2312"/>
          <w:color w:val="auto"/>
          <w:spacing w:val="0"/>
          <w:w w:val="100"/>
          <w:kern w:val="1"/>
          <w:sz w:val="32"/>
          <w:szCs w:val="32"/>
          <w:highlight w:val="none"/>
          <w:lang w:val="en-US" w:eastAsia="zh-CN" w:bidi="ar-SA"/>
        </w:rPr>
        <w:t>持续推动“四上”企业入库，全面摸排县域中小企业，对达到入库条件的，加快登记入库；对暂未达到入库标准但有实力入库的企业，纳入“四上”企业培育库，力争达标一家、申报一家、入库一家。</w:t>
      </w:r>
    </w:p>
    <w:p w14:paraId="68373F79">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autoSpaceDE w:val="0"/>
        <w:autoSpaceDN/>
        <w:bidi w:val="0"/>
        <w:adjustRightInd/>
        <w:snapToGrid/>
        <w:spacing w:before="0" w:line="600" w:lineRule="exact"/>
        <w:ind w:right="0" w:rightChars="0" w:firstLine="643" w:firstLineChars="200"/>
        <w:jc w:val="both"/>
        <w:textAlignment w:val="auto"/>
        <w:outlineLvl w:val="9"/>
        <w:rPr>
          <w:rFonts w:hint="eastAsia"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pPr>
      <w:r>
        <w:rPr>
          <w:rFonts w:hint="eastAsia"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t>（二）加快创新驱动发展</w:t>
      </w:r>
    </w:p>
    <w:p w14:paraId="60EA518A">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autoSpaceDE w:val="0"/>
        <w:autoSpaceDN/>
        <w:bidi w:val="0"/>
        <w:adjustRightInd/>
        <w:snapToGrid/>
        <w:spacing w:before="0" w:line="600" w:lineRule="exact"/>
        <w:ind w:right="0" w:rightChars="0" w:firstLine="643"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bCs/>
          <w:color w:val="auto"/>
          <w:kern w:val="2"/>
          <w:sz w:val="32"/>
          <w:szCs w:val="32"/>
          <w:highlight w:val="none"/>
          <w:lang w:val="en-US" w:eastAsia="zh-CN" w:bidi="ar-SA"/>
        </w:rPr>
        <w:t>引导支持企业创新。</w:t>
      </w:r>
      <w:r>
        <w:rPr>
          <w:rFonts w:hint="eastAsia" w:ascii="仿宋_GB2312" w:hAnsi="仿宋_GB2312" w:eastAsia="仿宋_GB2312" w:cs="仿宋_GB2312"/>
          <w:color w:val="auto"/>
          <w:spacing w:val="0"/>
          <w:w w:val="100"/>
          <w:kern w:val="1"/>
          <w:sz w:val="32"/>
          <w:szCs w:val="32"/>
          <w:highlight w:val="none"/>
          <w:lang w:val="en-US" w:eastAsia="zh-CN"/>
        </w:rPr>
        <w:t>鼓励企业建设重点实验室、工程研究中心、技术研发中心，县财政列支不低于500万元的研发经费奖补资金，确保企业研发投入增长20%以上、开发区规上工业企业研发活动达到70%以上、规上工业企业研发活动覆盖率达到50%以上，新增研发机构90家以上，投入研发资金4亿元以上，战略性新兴产业增加值增长10%以上，积极</w:t>
      </w:r>
      <w:r>
        <w:rPr>
          <w:rFonts w:hint="eastAsia" w:ascii="仿宋_GB2312" w:hAnsi="仿宋_GB2312" w:eastAsia="仿宋_GB2312" w:cs="仿宋_GB2312"/>
          <w:b w:val="0"/>
          <w:bCs w:val="0"/>
          <w:color w:val="auto"/>
          <w:kern w:val="2"/>
          <w:sz w:val="32"/>
          <w:szCs w:val="32"/>
          <w:highlight w:val="none"/>
          <w:lang w:val="en-US" w:eastAsia="zh-CN" w:bidi="ar-SA"/>
        </w:rPr>
        <w:t>申报省级食品和钢铁工程技术研发中心、市级工程技术研发中心。</w:t>
      </w:r>
    </w:p>
    <w:p w14:paraId="4A8EB008">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autoSpaceDE w:val="0"/>
        <w:autoSpaceDN/>
        <w:bidi w:val="0"/>
        <w:adjustRightInd/>
        <w:snapToGrid/>
        <w:spacing w:before="0" w:line="600" w:lineRule="exact"/>
        <w:ind w:right="0" w:rightChars="0" w:firstLine="643" w:firstLineChars="200"/>
        <w:jc w:val="both"/>
        <w:textAlignment w:val="auto"/>
        <w:outlineLvl w:val="9"/>
        <w:rPr>
          <w:rFonts w:hint="eastAsia" w:ascii="仿宋_GB2312" w:hAnsi="仿宋_GB2312" w:eastAsia="仿宋_GB2312" w:cs="仿宋_GB2312"/>
          <w:color w:val="auto"/>
          <w:spacing w:val="0"/>
          <w:w w:val="100"/>
          <w:kern w:val="1"/>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加快企业“三大改造”。</w:t>
      </w:r>
      <w:r>
        <w:rPr>
          <w:rFonts w:hint="eastAsia" w:ascii="仿宋_GB2312" w:hAnsi="仿宋_GB2312" w:eastAsia="仿宋_GB2312" w:cs="仿宋_GB2312"/>
          <w:color w:val="auto"/>
          <w:spacing w:val="0"/>
          <w:w w:val="100"/>
          <w:kern w:val="1"/>
          <w:sz w:val="32"/>
          <w:szCs w:val="32"/>
          <w:highlight w:val="none"/>
          <w:lang w:val="en-US" w:eastAsia="zh-CN"/>
        </w:rPr>
        <w:t>加大技改惠企政策宣传，引导企业积极开展技改智改，对实施技改、智改的企业给予补助和奖励，对投资超500万元的技改、智改项目加大指导力度。2023年新培育国家级专精特新“小巨人”企业2家、省级专精特新中小企业6家、省级头雁企业1家，新认定高新技术企业7家。</w:t>
      </w:r>
    </w:p>
    <w:p w14:paraId="75E099D2">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autoSpaceDE w:val="0"/>
        <w:autoSpaceDN/>
        <w:bidi w:val="0"/>
        <w:adjustRightInd/>
        <w:snapToGrid/>
        <w:spacing w:before="0" w:line="600" w:lineRule="exact"/>
        <w:ind w:right="0" w:rightChars="0" w:firstLine="643" w:firstLineChars="200"/>
        <w:jc w:val="both"/>
        <w:textAlignment w:val="auto"/>
        <w:outlineLvl w:val="9"/>
        <w:rPr>
          <w:rFonts w:hint="eastAsia" w:ascii="仿宋_GB2312" w:hAnsi="仿宋_GB2312" w:eastAsia="仿宋_GB2312" w:cs="仿宋_GB2312"/>
          <w:color w:val="auto"/>
          <w:spacing w:val="0"/>
          <w:w w:val="100"/>
          <w:kern w:val="1"/>
          <w:sz w:val="32"/>
          <w:szCs w:val="32"/>
          <w:highlight w:val="none"/>
          <w:lang w:eastAsia="zh-CN"/>
        </w:rPr>
      </w:pPr>
      <w:r>
        <w:rPr>
          <w:rFonts w:hint="eastAsia" w:ascii="仿宋_GB2312" w:hAnsi="仿宋_GB2312" w:eastAsia="仿宋_GB2312" w:cs="仿宋_GB2312"/>
          <w:b/>
          <w:bCs/>
          <w:color w:val="auto"/>
          <w:sz w:val="32"/>
          <w:szCs w:val="32"/>
          <w:highlight w:val="none"/>
          <w:lang w:eastAsia="zh-CN"/>
        </w:rPr>
        <w:t>着力培养引进</w:t>
      </w:r>
      <w:r>
        <w:rPr>
          <w:rFonts w:hint="eastAsia" w:ascii="仿宋_GB2312" w:hAnsi="仿宋_GB2312" w:eastAsia="仿宋_GB2312" w:cs="仿宋_GB2312"/>
          <w:b/>
          <w:bCs/>
          <w:color w:val="auto"/>
          <w:sz w:val="32"/>
          <w:szCs w:val="32"/>
          <w:highlight w:val="none"/>
        </w:rPr>
        <w:t>创新人才</w:t>
      </w:r>
      <w:r>
        <w:rPr>
          <w:rFonts w:hint="eastAsia" w:ascii="仿宋_GB2312" w:hAnsi="仿宋_GB2312" w:eastAsia="仿宋_GB2312" w:cs="仿宋_GB2312"/>
          <w:b/>
          <w:bCs/>
          <w:color w:val="auto"/>
          <w:sz w:val="32"/>
          <w:szCs w:val="32"/>
          <w:highlight w:val="none"/>
          <w:lang w:eastAsia="zh-CN"/>
        </w:rPr>
        <w:t>。</w:t>
      </w:r>
      <w:r>
        <w:rPr>
          <w:rFonts w:hint="eastAsia" w:ascii="仿宋_GB2312" w:hAnsi="仿宋_GB2312" w:eastAsia="仿宋_GB2312" w:cs="仿宋_GB2312"/>
          <w:color w:val="auto"/>
          <w:spacing w:val="0"/>
          <w:w w:val="100"/>
          <w:kern w:val="1"/>
          <w:sz w:val="32"/>
          <w:szCs w:val="32"/>
          <w:highlight w:val="none"/>
          <w:lang w:eastAsia="zh-CN"/>
        </w:rPr>
        <w:t>鼓励企业引智引才，推动创新链产业链资金链人才链深度融合。完善人才职称评聘、绩效分配等激励机制，强化子女入学、住房、医疗等服务保障，</w:t>
      </w:r>
      <w:r>
        <w:rPr>
          <w:rFonts w:hint="eastAsia" w:ascii="仿宋_GB2312" w:hAnsi="仿宋_GB2312" w:eastAsia="仿宋_GB2312" w:cs="仿宋_GB2312"/>
          <w:color w:val="auto"/>
          <w:spacing w:val="0"/>
          <w:w w:val="100"/>
          <w:kern w:val="1"/>
          <w:sz w:val="32"/>
          <w:szCs w:val="32"/>
          <w:highlight w:val="none"/>
          <w:lang w:val="en-US" w:eastAsia="zh-CN"/>
        </w:rPr>
        <w:t>支持大学生、青年劳动者等人员返乡创业，</w:t>
      </w:r>
      <w:r>
        <w:rPr>
          <w:rFonts w:hint="eastAsia" w:ascii="仿宋_GB2312" w:hAnsi="仿宋_GB2312" w:eastAsia="仿宋_GB2312" w:cs="仿宋_GB2312"/>
          <w:color w:val="auto"/>
          <w:spacing w:val="0"/>
          <w:w w:val="100"/>
          <w:kern w:val="1"/>
          <w:sz w:val="32"/>
          <w:szCs w:val="32"/>
          <w:highlight w:val="none"/>
          <w:lang w:eastAsia="zh-CN"/>
        </w:rPr>
        <w:t>实施青年友好城市建设，吸引更多优秀青年来沈创业就业。</w:t>
      </w:r>
    </w:p>
    <w:p w14:paraId="5522AA6E">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autoSpaceDE w:val="0"/>
        <w:autoSpaceDN/>
        <w:bidi w:val="0"/>
        <w:adjustRightInd/>
        <w:snapToGrid/>
        <w:spacing w:before="0" w:line="600" w:lineRule="exact"/>
        <w:ind w:right="0" w:rightChars="0" w:firstLine="643" w:firstLineChars="200"/>
        <w:jc w:val="both"/>
        <w:textAlignment w:val="auto"/>
        <w:outlineLvl w:val="9"/>
        <w:rPr>
          <w:rFonts w:hint="eastAsia"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pPr>
      <w:r>
        <w:rPr>
          <w:rFonts w:hint="eastAsia"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t>（三）加快新型城镇化建设</w:t>
      </w:r>
    </w:p>
    <w:p w14:paraId="213A357D">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autoSpaceDE w:val="0"/>
        <w:autoSpaceDN/>
        <w:bidi w:val="0"/>
        <w:adjustRightInd/>
        <w:snapToGrid/>
        <w:spacing w:before="0" w:line="600" w:lineRule="exact"/>
        <w:ind w:right="0" w:rightChars="0" w:firstLine="643" w:firstLineChars="200"/>
        <w:jc w:val="both"/>
        <w:textAlignment w:val="auto"/>
        <w:outlineLvl w:val="9"/>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highlight w:val="none"/>
          <w:u w:val="none" w:color="auto"/>
          <w:lang w:val="en-US" w:eastAsia="zh-CN"/>
          <w14:textFill>
            <w14:solidFill>
              <w14:schemeClr w14:val="tx1"/>
            </w14:solidFill>
          </w14:textFill>
        </w:rPr>
        <w:t>着力</w:t>
      </w:r>
      <w:r>
        <w:rPr>
          <w:rFonts w:hint="eastAsia" w:ascii="仿宋_GB2312" w:hAnsi="仿宋_GB2312" w:eastAsia="仿宋_GB2312" w:cs="仿宋_GB2312"/>
          <w:b/>
          <w:bCs/>
          <w:color w:val="000000" w:themeColor="text1"/>
          <w:sz w:val="32"/>
          <w:szCs w:val="32"/>
          <w:highlight w:val="none"/>
          <w:u w:val="none" w:color="auto"/>
          <w:lang w:eastAsia="zh-CN"/>
          <w14:textFill>
            <w14:solidFill>
              <w14:schemeClr w14:val="tx1"/>
            </w14:solidFill>
          </w14:textFill>
        </w:rPr>
        <w:t>构建国土空间规划体系。</w:t>
      </w:r>
      <w:r>
        <w:rPr>
          <w:rFonts w:hint="eastAsia" w:ascii="仿宋_GB2312" w:hAnsi="仿宋_GB2312" w:eastAsia="仿宋_GB2312" w:cs="仿宋_GB2312"/>
          <w:b w:val="0"/>
          <w:bCs w:val="0"/>
          <w:color w:val="000000" w:themeColor="text1"/>
          <w:sz w:val="32"/>
          <w:szCs w:val="32"/>
          <w:highlight w:val="none"/>
          <w:u w:val="none" w:color="auto"/>
          <w:lang w:eastAsia="zh-CN"/>
          <w14:textFill>
            <w14:solidFill>
              <w14:schemeClr w14:val="tx1"/>
            </w14:solidFill>
          </w14:textFill>
        </w:rPr>
        <w:t>按照“前瞻30年、编细15年、编实十四五”的战略思维，高效运用“三区三线”划定成果，加快编制全域国土空间总体规划方案，三月底前完成县城及副中心镇区规划，六月底前完成所有镇区规划、各类专项规划</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及</w:t>
      </w:r>
      <w:r>
        <w:rPr>
          <w:rFonts w:hint="eastAsia" w:ascii="仿宋_GB2312" w:hAnsi="仿宋_GB2312" w:eastAsia="仿宋_GB2312" w:cs="仿宋_GB2312"/>
          <w:b w:val="0"/>
          <w:bCs w:val="0"/>
          <w:color w:val="000000" w:themeColor="text1"/>
          <w:sz w:val="32"/>
          <w:szCs w:val="32"/>
          <w:highlight w:val="none"/>
          <w:u w:val="none" w:color="auto"/>
          <w:lang w:eastAsia="zh-CN"/>
          <w14:textFill>
            <w14:solidFill>
              <w14:schemeClr w14:val="tx1"/>
            </w14:solidFill>
          </w14:textFill>
        </w:rPr>
        <w:t>配套规划，推动县域副中心乡镇、重点乡镇和一般乡镇的国土空间规划编制，推进村庄布局规划、实用性村庄规划编制，</w:t>
      </w:r>
      <w:r>
        <w:rPr>
          <w:rFonts w:hint="eastAsia" w:ascii="仿宋_GB2312" w:hAnsi="仿宋_GB2312" w:eastAsia="仿宋_GB2312" w:cs="仿宋_GB2312"/>
          <w:color w:val="auto"/>
          <w:spacing w:val="0"/>
          <w:w w:val="100"/>
          <w:kern w:val="1"/>
          <w:sz w:val="32"/>
          <w:szCs w:val="32"/>
          <w:highlight w:val="none"/>
          <w:lang w:val="en-US" w:eastAsia="zh-CN"/>
        </w:rPr>
        <w:t>有序推进50户以下自然村撤村合并，</w:t>
      </w:r>
      <w:r>
        <w:rPr>
          <w:rFonts w:hint="eastAsia" w:ascii="仿宋_GB2312" w:hAnsi="仿宋_GB2312" w:eastAsia="仿宋_GB2312" w:cs="仿宋_GB2312"/>
          <w:b w:val="0"/>
          <w:bCs w:val="0"/>
          <w:color w:val="000000" w:themeColor="text1"/>
          <w:sz w:val="32"/>
          <w:szCs w:val="32"/>
          <w:highlight w:val="none"/>
          <w:u w:val="none" w:color="auto"/>
          <w:lang w:eastAsia="zh-CN"/>
          <w14:textFill>
            <w14:solidFill>
              <w14:schemeClr w14:val="tx1"/>
            </w14:solidFill>
          </w14:textFill>
        </w:rPr>
        <w:t>确保符合条件的村庄应编尽编。积极开展全域国土空间综合整治，巩固“</w:t>
      </w:r>
      <w:r>
        <w:rPr>
          <w:rFonts w:hint="default"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全国自然资源节约集约示范县</w:t>
      </w:r>
      <w:r>
        <w:rPr>
          <w:rFonts w:hint="eastAsia" w:ascii="仿宋_GB2312" w:hAnsi="仿宋_GB2312" w:eastAsia="仿宋_GB2312" w:cs="仿宋_GB2312"/>
          <w:b w:val="0"/>
          <w:bCs w:val="0"/>
          <w:color w:val="000000" w:themeColor="text1"/>
          <w:sz w:val="32"/>
          <w:szCs w:val="32"/>
          <w:highlight w:val="none"/>
          <w:u w:val="none" w:color="auto"/>
          <w:lang w:eastAsia="zh-CN"/>
          <w14:textFill>
            <w14:solidFill>
              <w14:schemeClr w14:val="tx1"/>
            </w14:solidFill>
          </w14:textFill>
        </w:rPr>
        <w:t>”创建成果</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w:t>
      </w:r>
    </w:p>
    <w:p w14:paraId="4141178B">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autoSpaceDE w:val="0"/>
        <w:autoSpaceDN/>
        <w:bidi w:val="0"/>
        <w:adjustRightInd/>
        <w:snapToGrid/>
        <w:spacing w:before="0" w:line="600" w:lineRule="exact"/>
        <w:ind w:right="0" w:rightChars="0" w:firstLine="643" w:firstLineChars="200"/>
        <w:jc w:val="both"/>
        <w:textAlignment w:val="auto"/>
        <w:outlineLvl w:val="9"/>
        <w:rPr>
          <w:rFonts w:hint="eastAsia" w:ascii="仿宋_GB2312" w:hAnsi="仿宋_GB2312" w:eastAsia="仿宋_GB2312" w:cs="仿宋_GB2312"/>
          <w:b w:val="0"/>
          <w:bCs w:val="0"/>
          <w:color w:val="000000" w:themeColor="text1"/>
          <w:sz w:val="32"/>
          <w:szCs w:val="32"/>
          <w:highlight w:val="none"/>
          <w:u w:val="none" w:color="auto"/>
          <w:lang w:eastAsia="zh-CN"/>
          <w14:textFill>
            <w14:solidFill>
              <w14:schemeClr w14:val="tx1"/>
            </w14:solidFill>
          </w14:textFill>
        </w:rPr>
      </w:pPr>
      <w:r>
        <w:rPr>
          <w:rFonts w:hint="eastAsia" w:ascii="仿宋_GB2312" w:hAnsi="仿宋_GB2312" w:eastAsia="仿宋_GB2312" w:cs="仿宋_GB2312"/>
          <w:b/>
          <w:bCs/>
          <w:color w:val="auto"/>
          <w:sz w:val="32"/>
          <w:szCs w:val="32"/>
          <w:highlight w:val="none"/>
          <w:lang w:eastAsia="zh-CN"/>
        </w:rPr>
        <w:t>纵深推进城市更新。</w:t>
      </w:r>
      <w:r>
        <w:rPr>
          <w:rFonts w:hint="eastAsia" w:ascii="仿宋_GB2312" w:hAnsi="仿宋_GB2312" w:eastAsia="仿宋_GB2312" w:cs="仿宋_GB2312"/>
          <w:b w:val="0"/>
          <w:bCs w:val="0"/>
          <w:color w:val="000000" w:themeColor="text1"/>
          <w:sz w:val="32"/>
          <w:szCs w:val="32"/>
          <w:highlight w:val="none"/>
          <w:u w:val="none" w:color="auto"/>
          <w:lang w:eastAsia="zh-CN"/>
          <w14:textFill>
            <w14:solidFill>
              <w14:schemeClr w14:val="tx1"/>
            </w14:solidFill>
          </w14:textFill>
        </w:rPr>
        <w:t>加快</w:t>
      </w:r>
      <w:r>
        <w:rPr>
          <w:rFonts w:hint="default" w:ascii="仿宋_GB2312" w:hAnsi="仿宋_GB2312" w:eastAsia="仿宋_GB2312" w:cs="仿宋_GB2312"/>
          <w:b w:val="0"/>
          <w:bCs w:val="0"/>
          <w:color w:val="000000" w:themeColor="text1"/>
          <w:sz w:val="32"/>
          <w:szCs w:val="32"/>
          <w:highlight w:val="none"/>
          <w:u w:val="none" w:color="auto"/>
          <w:lang w:val="en" w:eastAsia="zh-CN"/>
          <w14:textFill>
            <w14:solidFill>
              <w14:schemeClr w14:val="tx1"/>
            </w14:solidFill>
          </w14:textFill>
        </w:rPr>
        <w:t>建成</w:t>
      </w:r>
      <w:r>
        <w:rPr>
          <w:rFonts w:hint="eastAsia" w:ascii="仿宋_GB2312" w:hAnsi="仿宋_GB2312" w:eastAsia="仿宋_GB2312" w:cs="仿宋_GB2312"/>
          <w:b w:val="0"/>
          <w:bCs w:val="0"/>
          <w:color w:val="000000" w:themeColor="text1"/>
          <w:sz w:val="32"/>
          <w:szCs w:val="32"/>
          <w:highlight w:val="none"/>
          <w:u w:val="none" w:color="auto"/>
          <w:lang w:eastAsia="zh-CN"/>
          <w14:textFill>
            <w14:solidFill>
              <w14:schemeClr w14:val="tx1"/>
            </w14:solidFill>
          </w14:textFill>
        </w:rPr>
        <w:t>沙河湾森林公园、</w:t>
      </w:r>
      <w:r>
        <w:rPr>
          <w:rFonts w:hint="default" w:ascii="仿宋_GB2312" w:hAnsi="仿宋_GB2312" w:eastAsia="仿宋_GB2312" w:cs="仿宋_GB2312"/>
          <w:b w:val="0"/>
          <w:bCs w:val="0"/>
          <w:color w:val="000000" w:themeColor="text1"/>
          <w:sz w:val="32"/>
          <w:szCs w:val="32"/>
          <w:highlight w:val="none"/>
          <w:u w:val="none" w:color="auto"/>
          <w:lang w:val="en" w:eastAsia="zh-CN"/>
          <w14:textFill>
            <w14:solidFill>
              <w14:schemeClr w14:val="tx1"/>
            </w14:solidFill>
          </w14:textFill>
        </w:rPr>
        <w:t>华佗</w:t>
      </w:r>
      <w:r>
        <w:rPr>
          <w:rFonts w:hint="eastAsia" w:ascii="仿宋_GB2312" w:hAnsi="仿宋_GB2312" w:eastAsia="仿宋_GB2312" w:cs="仿宋_GB2312"/>
          <w:b w:val="0"/>
          <w:bCs w:val="0"/>
          <w:color w:val="000000" w:themeColor="text1"/>
          <w:sz w:val="32"/>
          <w:szCs w:val="32"/>
          <w:highlight w:val="none"/>
          <w:u w:val="none" w:color="auto"/>
          <w:lang w:val="en" w:eastAsia="zh-CN"/>
          <w14:textFill>
            <w14:solidFill>
              <w14:schemeClr w14:val="tx1"/>
            </w14:solidFill>
          </w14:textFill>
        </w:rPr>
        <w:t>中医药</w:t>
      </w:r>
      <w:r>
        <w:rPr>
          <w:rFonts w:hint="default" w:ascii="仿宋_GB2312" w:hAnsi="仿宋_GB2312" w:eastAsia="仿宋_GB2312" w:cs="仿宋_GB2312"/>
          <w:b w:val="0"/>
          <w:bCs w:val="0"/>
          <w:color w:val="000000" w:themeColor="text1"/>
          <w:sz w:val="32"/>
          <w:szCs w:val="32"/>
          <w:highlight w:val="none"/>
          <w:u w:val="none" w:color="auto"/>
          <w:lang w:val="en" w:eastAsia="zh-CN"/>
          <w14:textFill>
            <w14:solidFill>
              <w14:schemeClr w14:val="tx1"/>
            </w14:solidFill>
          </w14:textFill>
        </w:rPr>
        <w:t>文化主题公园、奥林匹克</w:t>
      </w:r>
      <w:r>
        <w:rPr>
          <w:rFonts w:hint="eastAsia" w:ascii="仿宋_GB2312" w:hAnsi="仿宋_GB2312" w:eastAsia="仿宋_GB2312" w:cs="仿宋_GB2312"/>
          <w:b w:val="0"/>
          <w:bCs w:val="0"/>
          <w:color w:val="000000" w:themeColor="text1"/>
          <w:sz w:val="32"/>
          <w:szCs w:val="32"/>
          <w:highlight w:val="none"/>
          <w:u w:val="none" w:color="auto"/>
          <w:lang w:eastAsia="zh-CN"/>
          <w14:textFill>
            <w14:solidFill>
              <w14:schemeClr w14:val="tx1"/>
            </w14:solidFill>
          </w14:textFill>
        </w:rPr>
        <w:t>文化主题</w:t>
      </w:r>
      <w:r>
        <w:rPr>
          <w:rFonts w:hint="default" w:ascii="仿宋_GB2312" w:hAnsi="仿宋_GB2312" w:eastAsia="仿宋_GB2312" w:cs="仿宋_GB2312"/>
          <w:b w:val="0"/>
          <w:bCs w:val="0"/>
          <w:color w:val="000000" w:themeColor="text1"/>
          <w:sz w:val="32"/>
          <w:szCs w:val="32"/>
          <w:highlight w:val="none"/>
          <w:u w:val="none" w:color="auto"/>
          <w:lang w:val="en" w:eastAsia="zh-CN"/>
          <w14:textFill>
            <w14:solidFill>
              <w14:schemeClr w14:val="tx1"/>
            </w14:solidFill>
          </w14:textFill>
        </w:rPr>
        <w:t>公园</w:t>
      </w:r>
      <w:r>
        <w:rPr>
          <w:rFonts w:hint="eastAsia" w:ascii="仿宋_GB2312" w:hAnsi="仿宋_GB2312" w:eastAsia="仿宋_GB2312" w:cs="仿宋_GB2312"/>
          <w:b w:val="0"/>
          <w:bCs w:val="0"/>
          <w:color w:val="000000" w:themeColor="text1"/>
          <w:sz w:val="32"/>
          <w:szCs w:val="32"/>
          <w:highlight w:val="none"/>
          <w:u w:val="none" w:color="auto"/>
          <w:lang w:eastAsia="zh-CN"/>
          <w14:textFill>
            <w14:solidFill>
              <w14:schemeClr w14:val="tx1"/>
            </w14:solidFill>
          </w14:textFill>
        </w:rPr>
        <w:t>等五座公园，</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继续</w:t>
      </w:r>
      <w:r>
        <w:rPr>
          <w:rFonts w:hint="default"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对</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城区内</w:t>
      </w:r>
      <w:r>
        <w:rPr>
          <w:rFonts w:hint="default"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重点街路</w:t>
      </w:r>
      <w:r>
        <w:rPr>
          <w:rFonts w:hint="default" w:ascii="仿宋_GB2312" w:hAnsi="仿宋_GB2312" w:eastAsia="仿宋_GB2312" w:cs="仿宋_GB2312"/>
          <w:b w:val="0"/>
          <w:bCs w:val="0"/>
          <w:color w:val="000000" w:themeColor="text1"/>
          <w:sz w:val="32"/>
          <w:szCs w:val="32"/>
          <w:highlight w:val="none"/>
          <w:u w:val="none" w:color="auto"/>
          <w:lang w:val="en" w:eastAsia="zh-CN"/>
          <w14:textFill>
            <w14:solidFill>
              <w14:schemeClr w14:val="tx1"/>
            </w14:solidFill>
          </w14:textFill>
        </w:rPr>
        <w:t>开展</w:t>
      </w:r>
      <w:r>
        <w:rPr>
          <w:rFonts w:hint="default"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“拆</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墙</w:t>
      </w:r>
      <w:r>
        <w:rPr>
          <w:rFonts w:hint="default"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透绿”</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“植绿补绿”</w:t>
      </w:r>
      <w:r>
        <w:rPr>
          <w:rFonts w:hint="default"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工作</w:t>
      </w:r>
      <w:r>
        <w:rPr>
          <w:rFonts w:hint="default" w:ascii="仿宋_GB2312" w:hAnsi="仿宋_GB2312" w:eastAsia="仿宋_GB2312" w:cs="仿宋_GB2312"/>
          <w:b w:val="0"/>
          <w:bCs w:val="0"/>
          <w:color w:val="000000" w:themeColor="text1"/>
          <w:sz w:val="32"/>
          <w:szCs w:val="32"/>
          <w:highlight w:val="none"/>
          <w:u w:val="none" w:color="auto"/>
          <w:lang w:val="en" w:eastAsia="zh-CN"/>
          <w14:textFill>
            <w14:solidFill>
              <w14:schemeClr w14:val="tx1"/>
            </w14:solidFill>
          </w14:textFill>
        </w:rPr>
        <w:t>，推进</w:t>
      </w:r>
      <w:r>
        <w:rPr>
          <w:rFonts w:hint="eastAsia" w:ascii="仿宋_GB2312" w:hAnsi="仿宋_GB2312" w:eastAsia="仿宋_GB2312" w:cs="仿宋_GB2312"/>
          <w:b w:val="0"/>
          <w:bCs w:val="0"/>
          <w:color w:val="000000" w:themeColor="text1"/>
          <w:sz w:val="32"/>
          <w:szCs w:val="32"/>
          <w:highlight w:val="none"/>
          <w:u w:val="none" w:color="auto"/>
          <w:lang w:eastAsia="zh-CN"/>
          <w14:textFill>
            <w14:solidFill>
              <w14:schemeClr w14:val="tx1"/>
            </w14:solidFill>
          </w14:textFill>
        </w:rPr>
        <w:t>口袋公园、街头游园、微景观建设</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。提升城市园林绿化养护规范化程度，</w:t>
      </w:r>
      <w:r>
        <w:rPr>
          <w:rFonts w:hint="eastAsia" w:ascii="仿宋_GB2312" w:hAnsi="仿宋_GB2312" w:eastAsia="仿宋_GB2312" w:cs="仿宋_GB2312"/>
          <w:b w:val="0"/>
          <w:bCs w:val="0"/>
          <w:color w:val="000000" w:themeColor="text1"/>
          <w:sz w:val="32"/>
          <w:szCs w:val="32"/>
          <w:highlight w:val="none"/>
          <w:u w:val="none" w:color="auto"/>
          <w:lang w:eastAsia="zh-CN"/>
          <w14:textFill>
            <w14:solidFill>
              <w14:schemeClr w14:val="tx1"/>
            </w14:solidFill>
          </w14:textFill>
        </w:rPr>
        <w:t>新增造林绿化1200亩</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以上</w:t>
      </w:r>
      <w:r>
        <w:rPr>
          <w:rFonts w:hint="eastAsia" w:ascii="仿宋_GB2312" w:hAnsi="仿宋_GB2312" w:eastAsia="仿宋_GB2312" w:cs="仿宋_GB2312"/>
          <w:b w:val="0"/>
          <w:bCs w:val="0"/>
          <w:color w:val="000000" w:themeColor="text1"/>
          <w:sz w:val="32"/>
          <w:szCs w:val="32"/>
          <w:highlight w:val="none"/>
          <w:u w:val="none" w:color="auto"/>
          <w:lang w:eastAsia="zh-CN"/>
          <w14:textFill>
            <w14:solidFill>
              <w14:schemeClr w14:val="tx1"/>
            </w14:solidFill>
          </w14:textFill>
        </w:rPr>
        <w:t>。加快建设南水北调供水工程，</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保障</w:t>
      </w:r>
      <w:r>
        <w:rPr>
          <w:rFonts w:hint="eastAsia" w:ascii="仿宋_GB2312" w:hAnsi="仿宋_GB2312" w:eastAsia="仿宋_GB2312" w:cs="仿宋_GB2312"/>
          <w:b w:val="0"/>
          <w:bCs w:val="0"/>
          <w:color w:val="000000" w:themeColor="text1"/>
          <w:sz w:val="32"/>
          <w:szCs w:val="32"/>
          <w:highlight w:val="none"/>
          <w:u w:val="none" w:color="auto"/>
          <w:lang w:eastAsia="zh-CN"/>
          <w14:textFill>
            <w14:solidFill>
              <w14:schemeClr w14:val="tx1"/>
            </w14:solidFill>
          </w14:textFill>
        </w:rPr>
        <w:t>群众六月底吃上“丹江水”。加强城市电网和输配电设施建设，解决县域线路供电半径过长等问题。加速实施污水处理厂，集中供热管网、雨污管网、强弱电入地综合管网建设，增强城市韧性，做实城市“里子工程”。提升城市排水防涝能力，推进沙颍河田沟至孙沟连通疏浚工程，对西蔡河、兀术沟、王庄沟等河道进行综合治理。以城市脏乱污堵“四治”为抓手，加强城区清扫保洁频次，维护公共场所卫生。加大占道经营、乱停乱放整治和媒体曝光力度。强化县城区易堵路段、重点路段管理，增设警示标识或交通信号灯。</w:t>
      </w:r>
      <w:r>
        <w:rPr>
          <w:rFonts w:hint="eastAsia" w:ascii="仿宋_GB2312" w:hAnsi="仿宋_GB2312" w:eastAsia="仿宋_GB2312" w:cs="仿宋_GB2312"/>
          <w:b w:val="0"/>
          <w:bCs w:val="0"/>
          <w:color w:val="auto"/>
          <w:sz w:val="32"/>
          <w:szCs w:val="32"/>
          <w:highlight w:val="none"/>
          <w:u w:val="none" w:color="auto"/>
          <w:lang w:eastAsia="zh-CN"/>
        </w:rPr>
        <w:t>利用闲置国有资产打造“两小市场”，实行定点经营。推进老旧小区、背街小巷改造。</w:t>
      </w:r>
      <w:r>
        <w:rPr>
          <w:rFonts w:hint="eastAsia" w:ascii="仿宋_GB2312" w:hAnsi="仿宋_GB2312" w:eastAsia="仿宋_GB2312" w:cs="仿宋_GB2312"/>
          <w:b w:val="0"/>
          <w:bCs w:val="0"/>
          <w:color w:val="000000" w:themeColor="text1"/>
          <w:sz w:val="32"/>
          <w:szCs w:val="32"/>
          <w:highlight w:val="none"/>
          <w:u w:val="none" w:color="auto"/>
          <w:lang w:eastAsia="zh-CN"/>
          <w14:textFill>
            <w14:solidFill>
              <w14:schemeClr w14:val="tx1"/>
            </w14:solidFill>
          </w14:textFill>
        </w:rPr>
        <w:t>谋划建设智慧交通、智慧停车、智慧市政、智慧环卫系统，提高城市管理智能化水平。</w:t>
      </w:r>
    </w:p>
    <w:p w14:paraId="0166CBC3">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autoSpaceDE w:val="0"/>
        <w:autoSpaceDN/>
        <w:bidi w:val="0"/>
        <w:adjustRightInd/>
        <w:snapToGrid/>
        <w:spacing w:before="0" w:line="600" w:lineRule="exact"/>
        <w:ind w:right="0" w:rightChars="0" w:firstLine="643" w:firstLineChars="200"/>
        <w:jc w:val="both"/>
        <w:textAlignment w:val="auto"/>
        <w:outlineLvl w:val="9"/>
        <w:rPr>
          <w:rFonts w:hint="eastAsia" w:ascii="仿宋_GB2312" w:hAnsi="仿宋_GB2312" w:eastAsia="仿宋_GB2312" w:cs="仿宋_GB2312"/>
          <w:b w:val="0"/>
          <w:bCs w:val="0"/>
          <w:color w:val="FF0000"/>
          <w:sz w:val="32"/>
          <w:szCs w:val="32"/>
          <w:highlight w:val="none"/>
          <w:u w:val="none" w:color="auto"/>
          <w:lang w:val="en-US" w:eastAsia="zh-CN"/>
        </w:rPr>
      </w:pPr>
      <w:r>
        <w:rPr>
          <w:rFonts w:hint="eastAsia" w:ascii="仿宋_GB2312" w:hAnsi="仿宋_GB2312" w:eastAsia="仿宋_GB2312" w:cs="仿宋_GB2312"/>
          <w:b/>
          <w:bCs/>
          <w:color w:val="auto"/>
          <w:sz w:val="32"/>
          <w:szCs w:val="32"/>
          <w:highlight w:val="none"/>
          <w:lang w:eastAsia="zh-CN"/>
        </w:rPr>
        <w:t>打造现代化综合交通枢纽。</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加快濮新高速、沈卢高速沈丘段建设进度。</w:t>
      </w:r>
      <w:r>
        <w:rPr>
          <w:rFonts w:hint="eastAsia" w:ascii="仿宋_GB2312" w:hAnsi="仿宋_GB2312" w:eastAsia="仿宋_GB2312" w:cs="仿宋_GB2312"/>
          <w:b w:val="0"/>
          <w:bCs w:val="0"/>
          <w:color w:val="000000" w:themeColor="text1"/>
          <w:sz w:val="32"/>
          <w:szCs w:val="32"/>
          <w:highlight w:val="none"/>
          <w:u w:val="none" w:color="auto"/>
          <w:lang w:val="en" w:eastAsia="zh-CN"/>
          <w14:textFill>
            <w14:solidFill>
              <w14:schemeClr w14:val="tx1"/>
            </w14:solidFill>
          </w14:textFill>
        </w:rPr>
        <w:t>有序</w:t>
      </w:r>
      <w:r>
        <w:rPr>
          <w:rFonts w:hint="default" w:ascii="仿宋_GB2312" w:hAnsi="仿宋_GB2312" w:eastAsia="仿宋_GB2312" w:cs="仿宋_GB2312"/>
          <w:b w:val="0"/>
          <w:bCs w:val="0"/>
          <w:color w:val="000000" w:themeColor="text1"/>
          <w:sz w:val="32"/>
          <w:szCs w:val="32"/>
          <w:highlight w:val="none"/>
          <w:u w:val="none" w:color="auto"/>
          <w:lang w:val="en" w:eastAsia="zh-CN"/>
          <w14:textFill>
            <w14:solidFill>
              <w14:schemeClr w14:val="tx1"/>
            </w14:solidFill>
          </w14:textFill>
        </w:rPr>
        <w:t>推进</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G329线、S211线升级改造。加快城区三大出口改造进度，确保及早竣工通车。优化城市主干路、次干路和支路建设时序，</w:t>
      </w:r>
      <w:r>
        <w:rPr>
          <w:rFonts w:hint="default"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逐步打通</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8</w:t>
      </w:r>
      <w:r>
        <w:rPr>
          <w:rFonts w:hint="default"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条断头路</w:t>
      </w:r>
      <w:r>
        <w:rPr>
          <w:rFonts w:hint="default" w:ascii="仿宋_GB2312" w:hAnsi="仿宋_GB2312" w:eastAsia="仿宋_GB2312" w:cs="仿宋_GB2312"/>
          <w:b w:val="0"/>
          <w:bCs w:val="0"/>
          <w:color w:val="000000" w:themeColor="text1"/>
          <w:sz w:val="32"/>
          <w:szCs w:val="32"/>
          <w:highlight w:val="none"/>
          <w:u w:val="none" w:color="auto"/>
          <w:lang w:val="en" w:eastAsia="zh-CN"/>
          <w14:textFill>
            <w14:solidFill>
              <w14:schemeClr w14:val="tx1"/>
            </w14:solidFill>
          </w14:textFill>
        </w:rPr>
        <w:t>，</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有序推动</w:t>
      </w:r>
      <w:r>
        <w:rPr>
          <w:rFonts w:hint="default" w:ascii="仿宋_GB2312" w:hAnsi="仿宋_GB2312" w:eastAsia="仿宋_GB2312" w:cs="仿宋_GB2312"/>
          <w:b w:val="0"/>
          <w:bCs w:val="0"/>
          <w:color w:val="000000" w:themeColor="text1"/>
          <w:sz w:val="32"/>
          <w:szCs w:val="32"/>
          <w:highlight w:val="none"/>
          <w:u w:val="none" w:color="auto"/>
          <w:lang w:val="en" w:eastAsia="zh-CN"/>
          <w14:textFill>
            <w14:solidFill>
              <w14:schemeClr w14:val="tx1"/>
            </w14:solidFill>
          </w14:textFill>
        </w:rPr>
        <w:t>大外环</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路新建工程。加快修建钢铁新城跨河大桥、两侧连接线及跨漯阜铁路引线工程。依托港口物流园，培育规模化、专业化、现代化的内河港口产业集群。加快推动沙颍河航道Ⅳ升Ⅲ工程，协调推进复线船闸项目开工建设，做好</w:t>
      </w:r>
      <w:r>
        <w:rPr>
          <w:rFonts w:hint="default" w:ascii="仿宋_GB2312" w:hAnsi="仿宋_GB2312" w:eastAsia="仿宋_GB2312" w:cs="仿宋_GB2312"/>
          <w:b w:val="0"/>
          <w:bCs w:val="0"/>
          <w:color w:val="000000" w:themeColor="text1"/>
          <w:sz w:val="32"/>
          <w:szCs w:val="32"/>
          <w:highlight w:val="none"/>
          <w:u w:val="none" w:color="auto"/>
          <w:lang w:val="en" w:eastAsia="zh-CN"/>
          <w14:textFill>
            <w14:solidFill>
              <w14:schemeClr w14:val="tx1"/>
            </w14:solidFill>
          </w14:textFill>
        </w:rPr>
        <w:t>老船</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闸</w:t>
      </w:r>
      <w:r>
        <w:rPr>
          <w:rFonts w:hint="default" w:ascii="仿宋_GB2312" w:hAnsi="仿宋_GB2312" w:eastAsia="仿宋_GB2312" w:cs="仿宋_GB2312"/>
          <w:b w:val="0"/>
          <w:bCs w:val="0"/>
          <w:color w:val="000000" w:themeColor="text1"/>
          <w:sz w:val="32"/>
          <w:szCs w:val="32"/>
          <w:highlight w:val="none"/>
          <w:u w:val="none" w:color="auto"/>
          <w:lang w:val="en" w:eastAsia="zh-CN"/>
          <w14:textFill>
            <w14:solidFill>
              <w14:schemeClr w14:val="tx1"/>
            </w14:solidFill>
          </w14:textFill>
        </w:rPr>
        <w:t>拆</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除前期准备工作，争取港区刘集作业区二期6个1000吨级泊位早日开工。</w:t>
      </w:r>
      <w:r>
        <w:rPr>
          <w:rFonts w:hint="eastAsia" w:ascii="仿宋_GB2312" w:hAnsi="仿宋_GB2312" w:eastAsia="仿宋_GB2312" w:cs="仿宋_GB2312"/>
          <w:b w:val="0"/>
          <w:bCs w:val="0"/>
          <w:color w:val="000000" w:themeColor="text1"/>
          <w:sz w:val="32"/>
          <w:szCs w:val="32"/>
          <w:highlight w:val="none"/>
          <w:u w:val="none" w:color="auto"/>
          <w:lang w:eastAsia="zh-CN"/>
          <w14:textFill>
            <w14:solidFill>
              <w14:schemeClr w14:val="tx1"/>
            </w14:solidFill>
          </w14:textFill>
        </w:rPr>
        <w:t>借助北大建筑设计院的专业优势，围绕沙颍河进行碧道规划，打造沈丘湾，推进沙颖河优势再造。</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推进沈丘北站进站大厅整体扩建，适时调整高铁班次，提高乘客通行效率。</w:t>
      </w:r>
    </w:p>
    <w:p w14:paraId="639E31D1">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autoSpaceDE w:val="0"/>
        <w:autoSpaceDN/>
        <w:bidi w:val="0"/>
        <w:adjustRightInd/>
        <w:snapToGrid/>
        <w:spacing w:before="0" w:line="600" w:lineRule="exact"/>
        <w:ind w:right="0" w:rightChars="0" w:firstLine="643" w:firstLineChars="200"/>
        <w:jc w:val="both"/>
        <w:textAlignment w:val="auto"/>
        <w:outlineLvl w:val="9"/>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highlight w:val="none"/>
          <w:u w:val="none" w:color="auto"/>
          <w:lang w:val="en-US" w:eastAsia="zh-CN"/>
          <w14:textFill>
            <w14:solidFill>
              <w14:schemeClr w14:val="tx1"/>
            </w14:solidFill>
          </w14:textFill>
        </w:rPr>
        <w:t>促进房地产业健康发展。</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充分发挥政策调控作用，在贷款利率浮动标准、公积金贷款、手续办理等方面支持刚性和改善性住房需求。全力以赴“保交楼、稳民生”，多措并举盘活问题楼盘，推动槐府</w:t>
      </w:r>
      <w:r>
        <w:rPr>
          <w:rFonts w:hint="default" w:ascii="仿宋_GB2312" w:hAnsi="仿宋_GB2312" w:eastAsia="仿宋_GB2312" w:cs="仿宋_GB2312"/>
          <w:b w:val="0"/>
          <w:bCs w:val="0"/>
          <w:color w:val="000000" w:themeColor="text1"/>
          <w:sz w:val="32"/>
          <w:szCs w:val="32"/>
          <w:highlight w:val="none"/>
          <w:u w:val="none" w:color="auto"/>
          <w:lang w:val="en" w:eastAsia="zh-CN"/>
          <w14:textFill>
            <w14:solidFill>
              <w14:schemeClr w14:val="tx1"/>
            </w14:solidFill>
          </w14:textFill>
        </w:rPr>
        <w:t>六</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号三期、地弘财富广场三期早日交房。加强商品房预售资金全流程监管，确保不出现新的问题楼盘。试行“房票”政策，举办房地产交易促销活动。推行现房销售，实现“交钱即交房、交房即办证”。完善长租房机制，统筹整合住房租赁市场资源，通过改建盘活等方式，将存量房、闲置房转化为住房租赁房源，推进“租购同权”。推动小王楼、丰产河二期、槐莲路棚户区改造项目顺利建设。</w:t>
      </w:r>
    </w:p>
    <w:p w14:paraId="03052332">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autoSpaceDE w:val="0"/>
        <w:autoSpaceDN/>
        <w:bidi w:val="0"/>
        <w:adjustRightInd/>
        <w:snapToGrid/>
        <w:spacing w:before="0" w:line="600" w:lineRule="exact"/>
        <w:ind w:right="0" w:rightChars="0" w:firstLine="643" w:firstLineChars="200"/>
        <w:jc w:val="both"/>
        <w:textAlignment w:val="auto"/>
        <w:outlineLvl w:val="9"/>
        <w:rPr>
          <w:rFonts w:hint="eastAsia"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pPr>
      <w:r>
        <w:rPr>
          <w:rFonts w:hint="eastAsia"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t>（四）全面推进乡村振兴</w:t>
      </w:r>
    </w:p>
    <w:p w14:paraId="585F798E">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autoSpaceDE w:val="0"/>
        <w:autoSpaceDN/>
        <w:bidi w:val="0"/>
        <w:adjustRightInd/>
        <w:snapToGrid/>
        <w:spacing w:before="0" w:line="600" w:lineRule="exact"/>
        <w:ind w:right="0" w:rightChars="0" w:firstLine="643" w:firstLineChars="200"/>
        <w:jc w:val="both"/>
        <w:textAlignment w:val="auto"/>
        <w:outlineLvl w:val="9"/>
        <w:rPr>
          <w:rFonts w:hint="eastAsia" w:ascii="仿宋_GB2312" w:hAnsi="仿宋_GB2312" w:eastAsia="仿宋_GB2312" w:cs="仿宋_GB2312"/>
          <w:color w:val="auto"/>
          <w:spacing w:val="0"/>
          <w:w w:val="100"/>
          <w:kern w:val="1"/>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全面推进乡村建设。</w:t>
      </w:r>
      <w:r>
        <w:rPr>
          <w:rFonts w:hint="eastAsia" w:ascii="仿宋_GB2312" w:hAnsi="仿宋_GB2312" w:eastAsia="仿宋_GB2312" w:cs="仿宋_GB2312"/>
          <w:color w:val="auto"/>
          <w:spacing w:val="0"/>
          <w:w w:val="100"/>
          <w:kern w:val="1"/>
          <w:sz w:val="32"/>
          <w:szCs w:val="32"/>
          <w:highlight w:val="none"/>
          <w:lang w:val="en-US" w:eastAsia="zh-CN"/>
        </w:rPr>
        <w:t>加强农村自建房审批监管，选派乡村规划师指导乡村建设。积极推进“百县通村入组”工程建设，投资8900万元，建设县乡农村公路100公里、桥梁45座，提升农村道路建设质量，巩固“三网”建设成果，争创国家级“四好农村路”示范县。</w:t>
      </w:r>
      <w:r>
        <w:rPr>
          <w:rFonts w:hint="eastAsia" w:ascii="仿宋_GB2312" w:hAnsi="仿宋_GB2312" w:eastAsia="仿宋_GB2312" w:cs="仿宋_GB2312"/>
          <w:color w:val="000000" w:themeColor="text1"/>
          <w:kern w:val="1"/>
          <w:sz w:val="32"/>
          <w:szCs w:val="32"/>
          <w:highlight w:val="none"/>
          <w14:textFill>
            <w14:solidFill>
              <w14:schemeClr w14:val="tx1"/>
            </w14:solidFill>
          </w14:textFill>
        </w:rPr>
        <w:t>加大农村安全饮水工程投入，满足广大</w:t>
      </w:r>
      <w:r>
        <w:rPr>
          <w:rFonts w:hint="eastAsia" w:ascii="仿宋_GB2312" w:hAnsi="仿宋_GB2312" w:eastAsia="仿宋_GB2312" w:cs="仿宋_GB2312"/>
          <w:color w:val="000000" w:themeColor="text1"/>
          <w:kern w:val="1"/>
          <w:sz w:val="32"/>
          <w:szCs w:val="32"/>
          <w:highlight w:val="none"/>
          <w:lang w:eastAsia="zh-CN"/>
          <w14:textFill>
            <w14:solidFill>
              <w14:schemeClr w14:val="tx1"/>
            </w14:solidFill>
          </w14:textFill>
        </w:rPr>
        <w:t>农村</w:t>
      </w:r>
      <w:r>
        <w:rPr>
          <w:rFonts w:hint="eastAsia" w:ascii="仿宋_GB2312" w:hAnsi="仿宋_GB2312" w:eastAsia="仿宋_GB2312" w:cs="仿宋_GB2312"/>
          <w:color w:val="000000" w:themeColor="text1"/>
          <w:kern w:val="1"/>
          <w:sz w:val="32"/>
          <w:szCs w:val="32"/>
          <w:highlight w:val="none"/>
          <w14:textFill>
            <w14:solidFill>
              <w14:schemeClr w14:val="tx1"/>
            </w14:solidFill>
          </w14:textFill>
        </w:rPr>
        <w:t>群众</w:t>
      </w:r>
      <w:r>
        <w:rPr>
          <w:rFonts w:hint="eastAsia" w:ascii="仿宋_GB2312" w:hAnsi="仿宋_GB2312" w:eastAsia="仿宋_GB2312" w:cs="仿宋_GB2312"/>
          <w:color w:val="000000" w:themeColor="text1"/>
          <w:kern w:val="1"/>
          <w:sz w:val="32"/>
          <w:szCs w:val="32"/>
          <w:highlight w:val="none"/>
          <w:lang w:eastAsia="zh-CN"/>
          <w14:textFill>
            <w14:solidFill>
              <w14:schemeClr w14:val="tx1"/>
            </w14:solidFill>
          </w14:textFill>
        </w:rPr>
        <w:t>用水需求</w:t>
      </w:r>
      <w:r>
        <w:rPr>
          <w:rFonts w:hint="eastAsia" w:ascii="仿宋_GB2312" w:hAnsi="仿宋_GB2312" w:eastAsia="仿宋_GB2312" w:cs="仿宋_GB2312"/>
          <w:color w:val="000000" w:themeColor="text1"/>
          <w:kern w:val="1"/>
          <w:sz w:val="32"/>
          <w:szCs w:val="32"/>
          <w:highlight w:val="none"/>
          <w14:textFill>
            <w14:solidFill>
              <w14:schemeClr w14:val="tx1"/>
            </w14:solidFill>
          </w14:textFill>
        </w:rPr>
        <w:t>。</w:t>
      </w:r>
      <w:r>
        <w:rPr>
          <w:rFonts w:hint="eastAsia" w:ascii="仿宋_GB2312" w:hAnsi="仿宋_GB2312" w:eastAsia="仿宋_GB2312" w:cs="仿宋_GB2312"/>
          <w:color w:val="auto"/>
          <w:spacing w:val="0"/>
          <w:w w:val="100"/>
          <w:kern w:val="1"/>
          <w:sz w:val="32"/>
          <w:szCs w:val="32"/>
          <w:highlight w:val="none"/>
          <w:lang w:val="en-US" w:eastAsia="zh-CN"/>
        </w:rPr>
        <w:t>持续实施“三边四化五美”工程，开展垃圾集中清运和“三拆”行动。梯次推进农村污水处理和黑臭水体治理，建设17个乡镇所在地污水处理厂，铺设农村污水管网。推进农村厕所革命，提高农村卫生厕所覆盖面和普及率，实现全县所有旱厕动态清零。全面整治集镇周边环境卫生、河道沿线两违建筑。打造100个农村人居环境示范村，创建省级示范村45个。</w:t>
      </w:r>
      <w:r>
        <w:rPr>
          <w:rFonts w:hint="eastAsia" w:ascii="Times New Roman" w:hAnsi="Times New Roman" w:eastAsia="仿宋_GB2312" w:cs="Times New Roman"/>
          <w:b w:val="0"/>
          <w:bCs w:val="0"/>
          <w:color w:val="000000" w:themeColor="text1"/>
          <w:spacing w:val="0"/>
          <w:sz w:val="32"/>
          <w:szCs w:val="32"/>
          <w:highlight w:val="none"/>
          <w:u w:val="none" w:color="auto"/>
          <w:lang w:val="en-US" w:eastAsia="zh-CN"/>
          <w14:textFill>
            <w14:solidFill>
              <w14:schemeClr w14:val="tx1"/>
            </w14:solidFill>
          </w14:textFill>
        </w:rPr>
        <w:t>打造白陈线、沙颖河两岸、纸冯线、北莲线四条乡村振兴示范带，推进北城</w:t>
      </w:r>
      <w:r>
        <w:rPr>
          <w:rFonts w:hint="default" w:ascii="Times New Roman" w:hAnsi="Times New Roman" w:eastAsia="仿宋_GB2312" w:cs="Times New Roman"/>
          <w:b w:val="0"/>
          <w:bCs w:val="0"/>
          <w:color w:val="auto"/>
          <w:spacing w:val="0"/>
          <w:sz w:val="32"/>
          <w:szCs w:val="32"/>
          <w:highlight w:val="none"/>
          <w:u w:val="none" w:color="auto"/>
          <w:lang w:val="en-US" w:eastAsia="zh-CN"/>
        </w:rPr>
        <w:t>滕营</w:t>
      </w:r>
      <w:r>
        <w:rPr>
          <w:rFonts w:hint="eastAsia" w:ascii="Times New Roman" w:hAnsi="Times New Roman" w:eastAsia="仿宋_GB2312" w:cs="Times New Roman"/>
          <w:b w:val="0"/>
          <w:bCs w:val="0"/>
          <w:color w:val="auto"/>
          <w:spacing w:val="0"/>
          <w:sz w:val="32"/>
          <w:szCs w:val="32"/>
          <w:highlight w:val="none"/>
          <w:u w:val="none" w:color="auto"/>
          <w:lang w:val="en-US" w:eastAsia="zh-CN"/>
        </w:rPr>
        <w:t>村、</w:t>
      </w:r>
      <w:r>
        <w:rPr>
          <w:rFonts w:hint="default" w:ascii="Times New Roman" w:hAnsi="Times New Roman" w:eastAsia="仿宋_GB2312" w:cs="Times New Roman"/>
          <w:b w:val="0"/>
          <w:bCs w:val="0"/>
          <w:color w:val="auto"/>
          <w:spacing w:val="0"/>
          <w:sz w:val="32"/>
          <w:szCs w:val="32"/>
          <w:highlight w:val="none"/>
          <w:u w:val="none" w:color="auto"/>
          <w:lang w:val="en-US" w:eastAsia="zh-CN"/>
        </w:rPr>
        <w:t>高</w:t>
      </w:r>
      <w:r>
        <w:rPr>
          <w:rFonts w:hint="eastAsia" w:ascii="Times New Roman" w:hAnsi="Times New Roman" w:eastAsia="仿宋_GB2312" w:cs="Times New Roman"/>
          <w:b w:val="0"/>
          <w:bCs w:val="0"/>
          <w:color w:val="auto"/>
          <w:spacing w:val="0"/>
          <w:sz w:val="32"/>
          <w:szCs w:val="32"/>
          <w:highlight w:val="none"/>
          <w:u w:val="none" w:color="auto"/>
          <w:lang w:val="en-US" w:eastAsia="zh-CN"/>
        </w:rPr>
        <w:t>门村和槐店镇</w:t>
      </w:r>
      <w:r>
        <w:rPr>
          <w:rFonts w:hint="default" w:ascii="Times New Roman" w:hAnsi="Times New Roman" w:eastAsia="仿宋_GB2312" w:cs="Times New Roman"/>
          <w:b w:val="0"/>
          <w:bCs w:val="0"/>
          <w:color w:val="auto"/>
          <w:spacing w:val="0"/>
          <w:sz w:val="32"/>
          <w:szCs w:val="32"/>
          <w:highlight w:val="none"/>
          <w:u w:val="none" w:color="auto"/>
          <w:lang w:val="en-US" w:eastAsia="zh-CN"/>
        </w:rPr>
        <w:t>大王</w:t>
      </w:r>
      <w:r>
        <w:rPr>
          <w:rFonts w:hint="eastAsia" w:ascii="Times New Roman" w:hAnsi="Times New Roman" w:eastAsia="仿宋_GB2312" w:cs="Times New Roman"/>
          <w:b w:val="0"/>
          <w:bCs w:val="0"/>
          <w:color w:val="auto"/>
          <w:spacing w:val="0"/>
          <w:sz w:val="32"/>
          <w:szCs w:val="32"/>
          <w:highlight w:val="none"/>
          <w:u w:val="none" w:color="auto"/>
          <w:lang w:val="en-US" w:eastAsia="zh-CN"/>
        </w:rPr>
        <w:t>楼村三</w:t>
      </w:r>
      <w:r>
        <w:rPr>
          <w:rFonts w:hint="eastAsia" w:ascii="Times New Roman" w:hAnsi="Times New Roman" w:eastAsia="仿宋_GB2312" w:cs="Times New Roman"/>
          <w:b w:val="0"/>
          <w:bCs w:val="0"/>
          <w:color w:val="000000" w:themeColor="text1"/>
          <w:spacing w:val="0"/>
          <w:sz w:val="32"/>
          <w:szCs w:val="32"/>
          <w:highlight w:val="none"/>
          <w:u w:val="none" w:color="auto"/>
          <w:lang w:val="en-US" w:eastAsia="zh-CN"/>
          <w14:textFill>
            <w14:solidFill>
              <w14:schemeClr w14:val="tx1"/>
            </w14:solidFill>
          </w14:textFill>
        </w:rPr>
        <w:t>个</w:t>
      </w:r>
      <w:r>
        <w:rPr>
          <w:rFonts w:hint="default" w:ascii="Times New Roman" w:hAnsi="Times New Roman" w:eastAsia="仿宋_GB2312" w:cs="Times New Roman"/>
          <w:b w:val="0"/>
          <w:bCs w:val="0"/>
          <w:color w:val="000000" w:themeColor="text1"/>
          <w:spacing w:val="0"/>
          <w:sz w:val="32"/>
          <w:szCs w:val="32"/>
          <w:highlight w:val="none"/>
          <w:u w:val="none" w:color="auto"/>
          <w:lang w:val="en-US" w:eastAsia="zh-CN"/>
          <w14:textFill>
            <w14:solidFill>
              <w14:schemeClr w14:val="tx1"/>
            </w14:solidFill>
          </w14:textFill>
        </w:rPr>
        <w:t>景区型村庄</w:t>
      </w:r>
      <w:r>
        <w:rPr>
          <w:rFonts w:hint="eastAsia" w:ascii="Times New Roman" w:hAnsi="Times New Roman" w:eastAsia="仿宋_GB2312" w:cs="Times New Roman"/>
          <w:b w:val="0"/>
          <w:bCs w:val="0"/>
          <w:color w:val="000000" w:themeColor="text1"/>
          <w:spacing w:val="0"/>
          <w:sz w:val="32"/>
          <w:szCs w:val="32"/>
          <w:highlight w:val="none"/>
          <w:u w:val="none" w:color="auto"/>
          <w:lang w:val="en-US" w:eastAsia="zh-CN"/>
          <w14:textFill>
            <w14:solidFill>
              <w14:schemeClr w14:val="tx1"/>
            </w14:solidFill>
          </w14:textFill>
        </w:rPr>
        <w:t>建设。</w:t>
      </w:r>
      <w:r>
        <w:rPr>
          <w:rFonts w:hint="eastAsia" w:ascii="仿宋_GB2312" w:hAnsi="仿宋_GB2312" w:eastAsia="仿宋_GB2312" w:cs="仿宋_GB2312"/>
          <w:color w:val="auto"/>
          <w:spacing w:val="0"/>
          <w:w w:val="100"/>
          <w:kern w:val="1"/>
          <w:sz w:val="32"/>
          <w:szCs w:val="32"/>
          <w:highlight w:val="none"/>
          <w:lang w:val="en-US" w:eastAsia="zh-CN"/>
        </w:rPr>
        <w:t>积极建设乡村振兴讲堂和乡村文化礼堂，培育文明乡风、良好家风、淳朴民风。</w:t>
      </w:r>
    </w:p>
    <w:p w14:paraId="08F5155B">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autoSpaceDE w:val="0"/>
        <w:autoSpaceDN/>
        <w:bidi w:val="0"/>
        <w:adjustRightInd/>
        <w:snapToGrid/>
        <w:spacing w:before="0" w:line="600" w:lineRule="exact"/>
        <w:ind w:right="0" w:rightChars="0" w:firstLine="643" w:firstLineChars="200"/>
        <w:jc w:val="both"/>
        <w:textAlignment w:val="auto"/>
        <w:outlineLvl w:val="9"/>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pPr>
      <w:r>
        <w:rPr>
          <w:rFonts w:hint="eastAsia" w:ascii="仿宋_GB2312" w:hAnsi="仿宋_GB2312" w:eastAsia="仿宋_GB2312" w:cs="仿宋_GB2312"/>
          <w:b/>
          <w:bCs/>
          <w:color w:val="000000"/>
          <w:sz w:val="32"/>
          <w:szCs w:val="32"/>
          <w:highlight w:val="none"/>
          <w:lang w:val="en-US" w:eastAsia="zh-CN"/>
        </w:rPr>
        <w:t>守牢粮食安全底线</w:t>
      </w:r>
      <w:r>
        <w:rPr>
          <w:rFonts w:hint="eastAsia" w:ascii="仿宋_GB2312" w:hAnsi="仿宋_GB2312" w:eastAsia="仿宋_GB2312" w:cs="仿宋_GB2312"/>
          <w:b/>
          <w:bCs/>
          <w:color w:val="auto"/>
          <w:sz w:val="32"/>
          <w:szCs w:val="32"/>
          <w:highlight w:val="none"/>
          <w:lang w:val="en-US" w:eastAsia="zh-CN"/>
        </w:rPr>
        <w:t>。</w:t>
      </w:r>
      <w:r>
        <w:rPr>
          <w:rFonts w:hint="eastAsia" w:ascii="仿宋_GB2312" w:hAnsi="仿宋_GB2312" w:eastAsia="仿宋_GB2312" w:cs="仿宋_GB2312"/>
          <w:b w:val="0"/>
          <w:bCs/>
          <w:color w:val="000000" w:themeColor="text1"/>
          <w:kern w:val="2"/>
          <w:sz w:val="32"/>
          <w:szCs w:val="32"/>
          <w:highlight w:val="none"/>
          <w:u w:val="none" w:color="auto"/>
          <w:lang w:val="en-US" w:eastAsia="zh-CN" w:bidi="ar-SA"/>
          <w14:textFill>
            <w14:solidFill>
              <w14:schemeClr w14:val="tx1"/>
            </w14:solidFill>
          </w14:textFill>
        </w:rPr>
        <w:t>坚决遏制耕地“非农化”、防止“非粮化”，</w:t>
      </w:r>
      <w:r>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保持粮食种植面积稳定在200万亩以上，推动优质小麦2万亩良种繁育区、10万亩规模种植区和30万亩订单种植区落实落地，加快7.5万亩高标准农田示范区建设，进一步巩固提升全国粮食生产大县地位。</w:t>
      </w:r>
    </w:p>
    <w:p w14:paraId="4BDAC1B9">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autoSpaceDE w:val="0"/>
        <w:autoSpaceDN/>
        <w:bidi w:val="0"/>
        <w:adjustRightInd/>
        <w:snapToGrid/>
        <w:spacing w:before="0" w:line="600" w:lineRule="exact"/>
        <w:ind w:right="0" w:rightChars="0" w:firstLine="643" w:firstLineChars="200"/>
        <w:jc w:val="both"/>
        <w:textAlignment w:val="auto"/>
        <w:outlineLvl w:val="9"/>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pPr>
      <w:r>
        <w:rPr>
          <w:rFonts w:hint="eastAsia" w:ascii="仿宋_GB2312" w:hAnsi="仿宋_GB2312" w:eastAsia="仿宋_GB2312" w:cs="仿宋_GB2312"/>
          <w:b/>
          <w:bCs/>
          <w:color w:val="auto"/>
          <w:sz w:val="32"/>
          <w:szCs w:val="32"/>
          <w:highlight w:val="none"/>
          <w:lang w:val="en-US" w:eastAsia="zh-CN"/>
        </w:rPr>
        <w:t>推进特色农业做优提质。</w:t>
      </w:r>
      <w:r>
        <w:rPr>
          <w:rFonts w:hint="eastAsia" w:ascii="仿宋_GB2312" w:hAnsi="仿宋_GB2312" w:eastAsia="仿宋_GB2312" w:cs="Times New Roman"/>
          <w:color w:val="000000" w:themeColor="text1"/>
          <w:kern w:val="1"/>
          <w:sz w:val="32"/>
          <w:szCs w:val="32"/>
          <w:highlight w:val="none"/>
          <w:u w:val="none" w:color="auto"/>
          <w:lang w:val="en-US" w:eastAsia="zh-CN"/>
          <w14:textFill>
            <w14:solidFill>
              <w14:schemeClr w14:val="tx1"/>
            </w14:solidFill>
          </w14:textFill>
        </w:rPr>
        <w:t>发挥槐山羊的产业和品牌优势，推进槐山羊“保种、扩繁、育肥”三级繁育体系，争创国家级槐山羊现代农业产业园。推进特色肉牛产业链式发展，建立健全“县+乡镇+养殖场”的三级肉牛技术服务体系。推进优质果蔬标准化生产，打造“名特优新”果蔬品牌。</w:t>
      </w:r>
      <w:r>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全面提升农业产业“园区化”发展水平，</w:t>
      </w:r>
      <w:r>
        <w:rPr>
          <w:rFonts w:hint="eastAsia" w:ascii="仿宋_GB2312" w:hAnsi="仿宋_GB2312" w:eastAsia="仿宋_GB2312" w:cs="仿宋_GB2312"/>
          <w:color w:val="000000" w:themeColor="text1"/>
          <w:sz w:val="32"/>
          <w:szCs w:val="32"/>
          <w:highlight w:val="none"/>
          <w:u w:val="none" w:color="auto"/>
          <w:shd w:val="clear"/>
          <w:lang w:val="en-US" w:eastAsia="zh-CN"/>
          <w14:textFill>
            <w14:solidFill>
              <w14:schemeClr w14:val="tx1"/>
            </w14:solidFill>
          </w14:textFill>
        </w:rPr>
        <w:t>高质量规划建设水产养殖基地、</w:t>
      </w:r>
      <w:r>
        <w:rPr>
          <w:rFonts w:hint="default" w:ascii="Times New Roman" w:hAnsi="Times New Roman" w:eastAsia="仿宋_GB2312" w:cs="Times New Roman"/>
          <w:b w:val="0"/>
          <w:bCs w:val="0"/>
          <w:color w:val="000000" w:themeColor="text1"/>
          <w:spacing w:val="0"/>
          <w:sz w:val="32"/>
          <w:szCs w:val="32"/>
          <w:highlight w:val="none"/>
          <w:u w:val="none" w:color="auto"/>
          <w:lang w:val="en-US" w:eastAsia="zh-CN"/>
          <w14:textFill>
            <w14:solidFill>
              <w14:schemeClr w14:val="tx1"/>
            </w14:solidFill>
          </w14:textFill>
        </w:rPr>
        <w:t>食用菌</w:t>
      </w:r>
      <w:r>
        <w:rPr>
          <w:rFonts w:hint="eastAsia" w:ascii="Times New Roman" w:hAnsi="Times New Roman" w:eastAsia="仿宋_GB2312" w:cs="Times New Roman"/>
          <w:b w:val="0"/>
          <w:bCs w:val="0"/>
          <w:color w:val="000000" w:themeColor="text1"/>
          <w:spacing w:val="0"/>
          <w:sz w:val="32"/>
          <w:szCs w:val="32"/>
          <w:highlight w:val="none"/>
          <w:u w:val="none" w:color="auto"/>
          <w:lang w:val="en-US" w:eastAsia="zh-CN"/>
          <w14:textFill>
            <w14:solidFill>
              <w14:schemeClr w14:val="tx1"/>
            </w14:solidFill>
          </w14:textFill>
        </w:rPr>
        <w:t>产业</w:t>
      </w:r>
      <w:r>
        <w:rPr>
          <w:rFonts w:hint="default" w:ascii="Times New Roman" w:hAnsi="Times New Roman" w:eastAsia="仿宋_GB2312" w:cs="Times New Roman"/>
          <w:b w:val="0"/>
          <w:bCs w:val="0"/>
          <w:color w:val="000000" w:themeColor="text1"/>
          <w:spacing w:val="0"/>
          <w:sz w:val="32"/>
          <w:szCs w:val="32"/>
          <w:highlight w:val="none"/>
          <w:u w:val="none" w:color="auto"/>
          <w:lang w:val="en-US" w:eastAsia="zh-CN"/>
          <w14:textFill>
            <w14:solidFill>
              <w14:schemeClr w14:val="tx1"/>
            </w14:solidFill>
          </w14:textFill>
        </w:rPr>
        <w:t>基地</w:t>
      </w:r>
      <w:r>
        <w:rPr>
          <w:rFonts w:hint="eastAsia" w:ascii="仿宋_GB2312" w:hAnsi="仿宋_GB2312" w:eastAsia="仿宋_GB2312" w:cs="仿宋_GB2312"/>
          <w:color w:val="000000" w:themeColor="text1"/>
          <w:sz w:val="32"/>
          <w:szCs w:val="32"/>
          <w:highlight w:val="none"/>
          <w:u w:val="none" w:color="auto"/>
          <w:shd w:val="clear"/>
          <w:lang w:val="en-US" w:eastAsia="zh-CN"/>
          <w14:textFill>
            <w14:solidFill>
              <w14:schemeClr w14:val="tx1"/>
            </w14:solidFill>
          </w14:textFill>
        </w:rPr>
        <w:t>、肉牛产业园、艾草产业园、番茄产业园以及现代设施农业产业园。</w:t>
      </w:r>
      <w:r>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加快引育农业产业化龙头企业，力争新增农业产业化国家、省重点龙头企业2家以上。</w:t>
      </w:r>
    </w:p>
    <w:p w14:paraId="0141CEC3">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autoSpaceDE w:val="0"/>
        <w:autoSpaceDN/>
        <w:bidi w:val="0"/>
        <w:adjustRightInd/>
        <w:snapToGrid/>
        <w:spacing w:before="0" w:line="600" w:lineRule="exact"/>
        <w:ind w:right="0" w:rightChars="0" w:firstLine="643" w:firstLineChars="200"/>
        <w:jc w:val="both"/>
        <w:textAlignment w:val="auto"/>
        <w:outlineLvl w:val="9"/>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highlight w:val="none"/>
          <w:u w:val="none" w:color="auto"/>
          <w:lang w:val="en-US" w:eastAsia="zh-CN"/>
          <w14:textFill>
            <w14:solidFill>
              <w14:schemeClr w14:val="tx1"/>
            </w14:solidFill>
          </w14:textFill>
        </w:rPr>
        <w:t>完善物流体系建设。</w:t>
      </w:r>
      <w:r>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大力发展平台经济，培育</w:t>
      </w:r>
      <w:r>
        <w:rPr>
          <w:rFonts w:hint="eastAsia" w:ascii="仿宋_GB2312" w:hAnsi="仿宋_GB2312" w:eastAsia="仿宋_GB2312" w:cs="仿宋_GB2312"/>
          <w:color w:val="000000" w:themeColor="text1"/>
          <w:sz w:val="32"/>
          <w:szCs w:val="32"/>
          <w:highlight w:val="none"/>
          <w14:textFill>
            <w14:solidFill>
              <w14:schemeClr w14:val="tx1"/>
            </w14:solidFill>
          </w14:textFill>
        </w:rPr>
        <w:t>省级电商直播基地、</w:t>
      </w:r>
      <w:r>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1-2家电商园、50个电商村，完善乡</w:t>
      </w:r>
      <w:r>
        <w:rPr>
          <w:rFonts w:hint="default" w:ascii="Times New Roman" w:hAnsi="Times New Roman" w:eastAsia="仿宋_GB2312" w:cs="Times New Roman"/>
          <w:b w:val="0"/>
          <w:bCs w:val="0"/>
          <w:color w:val="000000" w:themeColor="text1"/>
          <w:spacing w:val="0"/>
          <w:sz w:val="32"/>
          <w:szCs w:val="32"/>
          <w:highlight w:val="none"/>
          <w:u w:val="none" w:color="auto"/>
          <w:lang w:val="en-US" w:eastAsia="zh-CN"/>
          <w14:textFill>
            <w14:solidFill>
              <w14:schemeClr w14:val="tx1"/>
            </w14:solidFill>
          </w14:textFill>
        </w:rPr>
        <w:t>村</w:t>
      </w:r>
      <w:r>
        <w:rPr>
          <w:rFonts w:hint="eastAsia" w:ascii="Times New Roman" w:hAnsi="Times New Roman" w:eastAsia="仿宋_GB2312" w:cs="Times New Roman"/>
          <w:b w:val="0"/>
          <w:bCs w:val="0"/>
          <w:color w:val="000000" w:themeColor="text1"/>
          <w:spacing w:val="0"/>
          <w:sz w:val="32"/>
          <w:szCs w:val="32"/>
          <w:highlight w:val="none"/>
          <w:u w:val="none" w:color="auto"/>
          <w:lang w:val="en-US" w:eastAsia="zh-CN"/>
          <w14:textFill>
            <w14:solidFill>
              <w14:schemeClr w14:val="tx1"/>
            </w14:solidFill>
          </w14:textFill>
        </w:rPr>
        <w:t>电商</w:t>
      </w:r>
      <w:r>
        <w:rPr>
          <w:rFonts w:hint="default" w:ascii="Times New Roman" w:hAnsi="Times New Roman" w:eastAsia="仿宋_GB2312" w:cs="Times New Roman"/>
          <w:b w:val="0"/>
          <w:bCs w:val="0"/>
          <w:color w:val="000000" w:themeColor="text1"/>
          <w:spacing w:val="0"/>
          <w:sz w:val="32"/>
          <w:szCs w:val="32"/>
          <w:highlight w:val="none"/>
          <w:u w:val="none" w:color="auto"/>
          <w:lang w:val="en-US" w:eastAsia="zh-CN"/>
          <w14:textFill>
            <w14:solidFill>
              <w14:schemeClr w14:val="tx1"/>
            </w14:solidFill>
          </w14:textFill>
        </w:rPr>
        <w:t>综合服务点</w:t>
      </w:r>
      <w:r>
        <w:rPr>
          <w:rFonts w:hint="eastAsia" w:ascii="Times New Roman" w:hAnsi="Times New Roman" w:eastAsia="仿宋_GB2312" w:cs="Times New Roman"/>
          <w:b w:val="0"/>
          <w:bCs w:val="0"/>
          <w:color w:val="000000" w:themeColor="text1"/>
          <w:spacing w:val="0"/>
          <w:sz w:val="32"/>
          <w:szCs w:val="32"/>
          <w:highlight w:val="none"/>
          <w:u w:val="none" w:color="auto"/>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推动电商和实体经济深度融合。以大龙网跨境电商为引领，集聚跨境贸易上下游产业，形成吸附式跨境电商生态圈，助推沈丘产业结构全面升级。着力培育农业电商平台，打造知名农业电商品牌，构建县乡村三级物流配送体系，促进工业品下行和农业品上行双向流通。</w:t>
      </w:r>
    </w:p>
    <w:p w14:paraId="15E70C70">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autoSpaceDE w:val="0"/>
        <w:autoSpaceDN/>
        <w:bidi w:val="0"/>
        <w:adjustRightInd/>
        <w:snapToGrid/>
        <w:spacing w:before="0" w:line="600" w:lineRule="exact"/>
        <w:ind w:right="0" w:rightChars="0" w:firstLine="643" w:firstLineChars="200"/>
        <w:jc w:val="both"/>
        <w:textAlignment w:val="auto"/>
        <w:outlineLvl w:val="9"/>
        <w:rPr>
          <w:rFonts w:hint="eastAsia" w:ascii="仿宋_GB2312" w:hAnsi="仿宋_GB2312" w:eastAsia="仿宋_GB2312" w:cs="仿宋_GB2312"/>
          <w:color w:val="auto"/>
          <w:spacing w:val="0"/>
          <w:w w:val="100"/>
          <w:kern w:val="1"/>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推进农民收入稳步提升。</w:t>
      </w:r>
      <w:r>
        <w:rPr>
          <w:rFonts w:hint="eastAsia" w:ascii="仿宋_GB2312" w:hAnsi="仿宋_GB2312" w:eastAsia="仿宋_GB2312" w:cs="仿宋_GB2312"/>
          <w:color w:val="auto"/>
          <w:spacing w:val="0"/>
          <w:w w:val="100"/>
          <w:kern w:val="1"/>
          <w:sz w:val="32"/>
          <w:szCs w:val="32"/>
          <w:highlight w:val="none"/>
          <w:lang w:val="en-US" w:eastAsia="zh-CN"/>
        </w:rPr>
        <w:t>建立健全巩固拓展脱贫攻坚成果长效机制，持续抓好防返贫监测和后续帮扶，注重脱贫地区产业支撑，确保脱贫户和“三类户”人均可支配收入达到“两个高于”目标。实施助农增收行动，培养一批新型农民，鼓励农民创新创业，引导就近就业，增加农民工资性、经营性和财产性收入。</w:t>
      </w:r>
    </w:p>
    <w:p w14:paraId="18A619FD">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autoSpaceDE w:val="0"/>
        <w:autoSpaceDN/>
        <w:bidi w:val="0"/>
        <w:adjustRightInd/>
        <w:snapToGrid/>
        <w:spacing w:before="0" w:line="600" w:lineRule="exact"/>
        <w:ind w:right="0" w:rightChars="0" w:firstLine="643" w:firstLineChars="200"/>
        <w:jc w:val="both"/>
        <w:textAlignment w:val="auto"/>
        <w:outlineLvl w:val="9"/>
        <w:rPr>
          <w:rFonts w:hint="eastAsia"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pPr>
      <w:r>
        <w:rPr>
          <w:rFonts w:hint="eastAsia"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t>（五）持续深化重点领域改革</w:t>
      </w:r>
    </w:p>
    <w:p w14:paraId="43B87541">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autoSpaceDE w:val="0"/>
        <w:autoSpaceDN/>
        <w:bidi w:val="0"/>
        <w:adjustRightInd/>
        <w:snapToGrid/>
        <w:spacing w:before="0" w:line="600" w:lineRule="exact"/>
        <w:ind w:right="0" w:rightChars="0" w:firstLine="643" w:firstLineChars="200"/>
        <w:jc w:val="both"/>
        <w:textAlignment w:val="auto"/>
        <w:outlineLvl w:val="9"/>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highlight w:val="none"/>
          <w:u w:val="none" w:color="auto"/>
          <w:lang w:val="en-US" w:eastAsia="zh-CN"/>
          <w14:textFill>
            <w14:solidFill>
              <w14:schemeClr w14:val="tx1"/>
            </w14:solidFill>
          </w14:textFill>
        </w:rPr>
        <w:t>全面优化营商环境。</w:t>
      </w:r>
      <w:r>
        <w:rPr>
          <w:rFonts w:hint="eastAsia" w:ascii="Times New Roman" w:hAnsi="Times New Roman" w:eastAsia="仿宋_GB2312" w:cs="Times New Roman"/>
          <w:b w:val="0"/>
          <w:bCs w:val="0"/>
          <w:color w:val="000000" w:themeColor="text1"/>
          <w:spacing w:val="0"/>
          <w:kern w:val="0"/>
          <w:sz w:val="32"/>
          <w:szCs w:val="32"/>
          <w:highlight w:val="none"/>
          <w:u w:val="none" w:color="auto"/>
          <w:shd w:val="clear" w:color="auto" w:fill="FFFFFF"/>
          <w:lang w:val="en-US" w:eastAsia="zh-CN"/>
          <w14:textFill>
            <w14:solidFill>
              <w14:schemeClr w14:val="tx1"/>
            </w14:solidFill>
          </w14:textFill>
        </w:rPr>
        <w:t>以“</w:t>
      </w:r>
      <w:r>
        <w:rPr>
          <w:rFonts w:hint="default" w:ascii="Times New Roman" w:hAnsi="Times New Roman" w:eastAsia="仿宋_GB2312" w:cs="Times New Roman"/>
          <w:b w:val="0"/>
          <w:bCs w:val="0"/>
          <w:color w:val="000000" w:themeColor="text1"/>
          <w:spacing w:val="0"/>
          <w:kern w:val="0"/>
          <w:sz w:val="32"/>
          <w:szCs w:val="32"/>
          <w:highlight w:val="none"/>
          <w:u w:val="none" w:color="auto"/>
          <w:shd w:val="clear" w:color="auto" w:fill="FFFFFF"/>
          <w:lang w:val="en-US" w:eastAsia="zh-CN"/>
          <w14:textFill>
            <w14:solidFill>
              <w14:schemeClr w14:val="tx1"/>
            </w14:solidFill>
          </w14:textFill>
        </w:rPr>
        <w:t>豫皖两省边际营商环境最优县</w:t>
      </w:r>
      <w:r>
        <w:rPr>
          <w:rFonts w:hint="eastAsia" w:ascii="Times New Roman" w:hAnsi="Times New Roman" w:eastAsia="仿宋_GB2312" w:cs="Times New Roman"/>
          <w:b w:val="0"/>
          <w:bCs w:val="0"/>
          <w:color w:val="000000" w:themeColor="text1"/>
          <w:spacing w:val="0"/>
          <w:kern w:val="0"/>
          <w:sz w:val="32"/>
          <w:szCs w:val="32"/>
          <w:highlight w:val="none"/>
          <w:u w:val="none" w:color="auto"/>
          <w:shd w:val="clear" w:color="auto" w:fill="FFFFFF"/>
          <w:lang w:val="en-US" w:eastAsia="zh-CN"/>
          <w14:textFill>
            <w14:solidFill>
              <w14:schemeClr w14:val="tx1"/>
            </w14:solidFill>
          </w14:textFill>
        </w:rPr>
        <w:t>”为</w:t>
      </w:r>
      <w:r>
        <w:rPr>
          <w:rFonts w:hint="default" w:ascii="Times New Roman" w:hAnsi="Times New Roman" w:eastAsia="仿宋_GB2312" w:cs="Times New Roman"/>
          <w:b w:val="0"/>
          <w:bCs w:val="0"/>
          <w:color w:val="000000" w:themeColor="text1"/>
          <w:spacing w:val="0"/>
          <w:kern w:val="0"/>
          <w:sz w:val="32"/>
          <w:szCs w:val="32"/>
          <w:highlight w:val="none"/>
          <w:u w:val="none" w:color="auto"/>
          <w:shd w:val="clear" w:color="auto" w:fill="FFFFFF"/>
          <w:lang w:val="en-US" w:eastAsia="zh-CN"/>
          <w14:textFill>
            <w14:solidFill>
              <w14:schemeClr w14:val="tx1"/>
            </w14:solidFill>
          </w14:textFill>
        </w:rPr>
        <w:t>目标，</w:t>
      </w:r>
      <w:r>
        <w:rPr>
          <w:rFonts w:hint="eastAsia" w:ascii="Times New Roman" w:hAnsi="Times New Roman" w:eastAsia="仿宋_GB2312" w:cs="Times New Roman"/>
          <w:b w:val="0"/>
          <w:bCs w:val="0"/>
          <w:color w:val="000000" w:themeColor="text1"/>
          <w:spacing w:val="0"/>
          <w:kern w:val="0"/>
          <w:sz w:val="32"/>
          <w:szCs w:val="32"/>
          <w:highlight w:val="none"/>
          <w:u w:val="none" w:color="auto"/>
          <w:shd w:val="clear" w:color="auto" w:fill="FFFFFF"/>
          <w:lang w:val="en-US" w:eastAsia="zh-CN"/>
          <w14:textFill>
            <w14:solidFill>
              <w14:schemeClr w14:val="tx1"/>
            </w14:solidFill>
          </w14:textFill>
        </w:rPr>
        <w:t>大力</w:t>
      </w:r>
      <w:r>
        <w:rPr>
          <w:rFonts w:hint="default" w:ascii="Times New Roman" w:hAnsi="Times New Roman" w:eastAsia="仿宋_GB2312" w:cs="Times New Roman"/>
          <w:b w:val="0"/>
          <w:bCs w:val="0"/>
          <w:color w:val="000000" w:themeColor="text1"/>
          <w:spacing w:val="0"/>
          <w:kern w:val="0"/>
          <w:sz w:val="32"/>
          <w:szCs w:val="32"/>
          <w:highlight w:val="none"/>
          <w:u w:val="none" w:color="auto"/>
          <w:shd w:val="clear" w:color="auto" w:fill="FFFFFF"/>
          <w:lang w:val="en-US" w:eastAsia="zh-CN"/>
          <w14:textFill>
            <w14:solidFill>
              <w14:schemeClr w14:val="tx1"/>
            </w14:solidFill>
          </w14:textFill>
        </w:rPr>
        <w:t>开展营商环境</w:t>
      </w:r>
      <w:r>
        <w:rPr>
          <w:rFonts w:hint="eastAsia" w:ascii="Times New Roman" w:hAnsi="Times New Roman" w:eastAsia="仿宋_GB2312" w:cs="Times New Roman"/>
          <w:b w:val="0"/>
          <w:bCs w:val="0"/>
          <w:color w:val="000000" w:themeColor="text1"/>
          <w:spacing w:val="0"/>
          <w:kern w:val="0"/>
          <w:sz w:val="32"/>
          <w:szCs w:val="32"/>
          <w:highlight w:val="none"/>
          <w:u w:val="none" w:color="auto"/>
          <w:shd w:val="clear" w:color="auto" w:fill="FFFFFF"/>
          <w:lang w:val="en-US"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kern w:val="0"/>
          <w:sz w:val="32"/>
          <w:szCs w:val="32"/>
          <w:highlight w:val="none"/>
          <w:u w:val="none" w:color="auto"/>
          <w:shd w:val="clear" w:color="auto" w:fill="FFFFFF"/>
          <w:lang w:val="en-US" w:eastAsia="zh-CN"/>
          <w14:textFill>
            <w14:solidFill>
              <w14:schemeClr w14:val="tx1"/>
            </w14:solidFill>
          </w14:textFill>
        </w:rPr>
        <w:t>清障</w:t>
      </w:r>
      <w:r>
        <w:rPr>
          <w:rFonts w:hint="eastAsia" w:ascii="Times New Roman" w:hAnsi="Times New Roman" w:eastAsia="仿宋_GB2312" w:cs="Times New Roman"/>
          <w:b w:val="0"/>
          <w:bCs w:val="0"/>
          <w:color w:val="000000" w:themeColor="text1"/>
          <w:spacing w:val="0"/>
          <w:kern w:val="0"/>
          <w:sz w:val="32"/>
          <w:szCs w:val="32"/>
          <w:highlight w:val="none"/>
          <w:u w:val="none" w:color="auto"/>
          <w:shd w:val="clear" w:color="auto" w:fill="FFFFFF"/>
          <w:lang w:val="en-US"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kern w:val="0"/>
          <w:sz w:val="32"/>
          <w:szCs w:val="32"/>
          <w:highlight w:val="none"/>
          <w:u w:val="none" w:color="auto"/>
          <w:shd w:val="clear" w:color="auto" w:fill="FFFFFF"/>
          <w:lang w:val="en-US" w:eastAsia="zh-CN"/>
          <w14:textFill>
            <w14:solidFill>
              <w14:schemeClr w14:val="tx1"/>
            </w14:solidFill>
          </w14:textFill>
        </w:rPr>
        <w:t>行动，着力打造</w:t>
      </w:r>
      <w:r>
        <w:rPr>
          <w:rFonts w:hint="eastAsia" w:ascii="Times New Roman" w:hAnsi="Times New Roman" w:eastAsia="仿宋_GB2312" w:cs="Times New Roman"/>
          <w:b w:val="0"/>
          <w:bCs w:val="0"/>
          <w:color w:val="000000" w:themeColor="text1"/>
          <w:spacing w:val="0"/>
          <w:kern w:val="0"/>
          <w:sz w:val="32"/>
          <w:szCs w:val="32"/>
          <w:highlight w:val="none"/>
          <w:u w:val="none" w:color="auto"/>
          <w:shd w:val="clear" w:color="auto" w:fill="FFFFFF"/>
          <w:lang w:val="en-US"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kern w:val="0"/>
          <w:sz w:val="32"/>
          <w:szCs w:val="32"/>
          <w:highlight w:val="none"/>
          <w:u w:val="none" w:color="auto"/>
          <w:shd w:val="clear" w:color="auto" w:fill="FFFFFF"/>
          <w:lang w:val="en-US" w:eastAsia="zh-CN"/>
          <w14:textFill>
            <w14:solidFill>
              <w14:schemeClr w14:val="tx1"/>
            </w14:solidFill>
          </w14:textFill>
        </w:rPr>
        <w:t>六个最优环境</w:t>
      </w:r>
      <w:r>
        <w:rPr>
          <w:rFonts w:hint="eastAsia" w:ascii="Times New Roman" w:hAnsi="Times New Roman" w:eastAsia="仿宋_GB2312" w:cs="Times New Roman"/>
          <w:b w:val="0"/>
          <w:bCs w:val="0"/>
          <w:color w:val="000000" w:themeColor="text1"/>
          <w:spacing w:val="0"/>
          <w:kern w:val="0"/>
          <w:sz w:val="32"/>
          <w:szCs w:val="32"/>
          <w:highlight w:val="none"/>
          <w:u w:val="none" w:color="auto"/>
          <w:shd w:val="clear" w:color="auto" w:fill="FFFFFF"/>
          <w:lang w:val="en-US" w:eastAsia="zh-CN"/>
          <w14:textFill>
            <w14:solidFill>
              <w14:schemeClr w14:val="tx1"/>
            </w14:solidFill>
          </w14:textFill>
        </w:rPr>
        <w:t>”</w:t>
      </w:r>
      <w:r>
        <w:rPr>
          <w:rFonts w:hint="default" w:ascii="Times New Roman" w:hAnsi="Times New Roman" w:eastAsia="仿宋_GB2312" w:cs="Times New Roman"/>
          <w:b w:val="0"/>
          <w:bCs w:val="0"/>
          <w:color w:val="000000" w:themeColor="text1"/>
          <w:spacing w:val="0"/>
          <w:kern w:val="0"/>
          <w:sz w:val="32"/>
          <w:szCs w:val="32"/>
          <w:highlight w:val="none"/>
          <w:u w:val="none" w:color="auto"/>
          <w:shd w:val="clear" w:color="auto" w:fill="FFFFFF"/>
          <w:lang w:val="en-US" w:eastAsia="zh-CN"/>
          <w14:textFill>
            <w14:solidFill>
              <w14:schemeClr w14:val="tx1"/>
            </w14:solidFill>
          </w14:textFill>
        </w:rPr>
        <w:t>。</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持续深化“一网通办”“三个之外无审批”改革，推进跨区域电子证照、电子印章、电子签名、电子材料互通互认工作，</w:t>
      </w:r>
      <w:r>
        <w:rPr>
          <w:rFonts w:hint="eastAsia" w:ascii="Times New Roman" w:hAnsi="Times New Roman" w:eastAsia="仿宋_GB2312" w:cs="Times New Roman"/>
          <w:b w:val="0"/>
          <w:bCs w:val="0"/>
          <w:color w:val="000000" w:themeColor="text1"/>
          <w:spacing w:val="0"/>
          <w:kern w:val="0"/>
          <w:sz w:val="32"/>
          <w:szCs w:val="32"/>
          <w:highlight w:val="none"/>
          <w:u w:val="none" w:color="auto"/>
          <w:shd w:val="clear" w:color="auto" w:fill="FFFFFF"/>
          <w:lang w:val="en-US" w:eastAsia="zh-CN"/>
          <w14:textFill>
            <w14:solidFill>
              <w14:schemeClr w14:val="tx1"/>
            </w14:solidFill>
          </w14:textFill>
        </w:rPr>
        <w:t>全面落实“容缺办理”“联审联批”“标准地+承诺制”改革措施，推行“二号章”制度，最大限度压减审批时间。</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积极推进“府院联动”机制，发挥政府与法院各自职能作用和资源优势，着力营造法治化营商环境。</w:t>
      </w:r>
    </w:p>
    <w:p w14:paraId="3059B4CD">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right="0" w:rightChars="0" w:firstLine="643" w:firstLineChars="200"/>
        <w:jc w:val="both"/>
        <w:textAlignment w:val="auto"/>
        <w:outlineLvl w:val="9"/>
        <w:rPr>
          <w:rFonts w:hint="eastAsia" w:ascii="仿宋_GB2312" w:hAnsi="仿宋_GB2312" w:eastAsia="仿宋_GB2312" w:cs="仿宋_GB2312"/>
          <w:b w:val="0"/>
          <w:bCs w:val="0"/>
          <w:color w:val="000000" w:themeColor="text1"/>
          <w:spacing w:val="0"/>
          <w:w w:val="100"/>
          <w:sz w:val="32"/>
          <w:szCs w:val="32"/>
          <w:highlight w:val="none"/>
          <w:u w:val="none" w:color="auto"/>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highlight w:val="none"/>
          <w:u w:val="none" w:color="auto"/>
          <w:lang w:val="en-US" w:eastAsia="zh-CN"/>
          <w14:textFill>
            <w14:solidFill>
              <w14:schemeClr w14:val="tx1"/>
            </w14:solidFill>
          </w14:textFill>
        </w:rPr>
        <w:t>深化投融资体制改革。</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加大</w:t>
      </w:r>
      <w:r>
        <w:rPr>
          <w:rFonts w:hint="eastAsia" w:ascii="仿宋_GB2312" w:hAnsi="仿宋_GB2312" w:eastAsia="仿宋_GB2312" w:cs="仿宋_GB2312"/>
          <w:b w:val="0"/>
          <w:bCs w:val="0"/>
          <w:color w:val="000000" w:themeColor="text1"/>
          <w:spacing w:val="0"/>
          <w:w w:val="100"/>
          <w:sz w:val="32"/>
          <w:szCs w:val="32"/>
          <w:highlight w:val="none"/>
          <w:u w:val="none" w:color="auto"/>
          <w:lang w:val="en-US" w:eastAsia="zh-CN"/>
          <w14:textFill>
            <w14:solidFill>
              <w14:schemeClr w14:val="tx1"/>
            </w14:solidFill>
          </w14:textFill>
        </w:rPr>
        <w:t>国投、城投、农投和聚源公司等政府全资公司改革力度</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将更多的特许经营权依法赋予全资公司，推动全资公司尽快成为市场经营主体。</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整合国有资产，壮大公司</w:t>
      </w:r>
      <w:r>
        <w:rPr>
          <w:rFonts w:hint="eastAsia" w:ascii="仿宋_GB2312" w:hAnsi="仿宋_GB2312" w:eastAsia="仿宋_GB2312" w:cs="仿宋_GB2312"/>
          <w:b w:val="0"/>
          <w:bCs w:val="0"/>
          <w:color w:val="000000" w:themeColor="text1"/>
          <w:spacing w:val="0"/>
          <w:w w:val="100"/>
          <w:sz w:val="32"/>
          <w:szCs w:val="32"/>
          <w:highlight w:val="none"/>
          <w:u w:val="none" w:color="auto"/>
          <w:lang w:val="en-US" w:eastAsia="zh-CN"/>
          <w14:textFill>
            <w14:solidFill>
              <w14:schemeClr w14:val="tx1"/>
            </w14:solidFill>
          </w14:textFill>
        </w:rPr>
        <w:t>实力，发挥其承担公共设施“融建运管还”的主体作用。</w:t>
      </w:r>
    </w:p>
    <w:p w14:paraId="36BF8E40">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right="0" w:rightChars="0" w:firstLine="643" w:firstLineChars="200"/>
        <w:jc w:val="both"/>
        <w:textAlignment w:val="auto"/>
        <w:outlineLvl w:val="9"/>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pPr>
      <w:r>
        <w:rPr>
          <w:rFonts w:hint="eastAsia" w:ascii="仿宋_GB2312" w:hAnsi="仿宋_GB2312" w:eastAsia="仿宋_GB2312" w:cs="仿宋_GB2312"/>
          <w:b/>
          <w:bCs/>
          <w:color w:val="000000" w:themeColor="text1"/>
          <w:spacing w:val="0"/>
          <w:w w:val="100"/>
          <w:sz w:val="32"/>
          <w:szCs w:val="32"/>
          <w:highlight w:val="none"/>
          <w:u w:val="none" w:color="auto"/>
          <w:lang w:val="en-US" w:eastAsia="zh-CN"/>
          <w14:textFill>
            <w14:solidFill>
              <w14:schemeClr w14:val="tx1"/>
            </w14:solidFill>
          </w14:textFill>
        </w:rPr>
        <w:t>深化财税体制改革。</w:t>
      </w:r>
      <w:r>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把控好短期风险控制与中长期体制改革，健全优化税制结构。持续推进隐性债务“控增化存”，争取财政资金，运用金融工具，引入社会资本、国有资本重组债务风险项目，稳妥处理政府债务风险。</w:t>
      </w:r>
    </w:p>
    <w:p w14:paraId="59B69009">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right="0" w:rightChars="0" w:firstLine="643" w:firstLineChars="200"/>
        <w:jc w:val="both"/>
        <w:textAlignment w:val="auto"/>
        <w:outlineLvl w:val="9"/>
        <w:rPr>
          <w:rFonts w:hint="eastAsia" w:ascii="仿宋_GB2312" w:hAnsi="仿宋_GB2312" w:eastAsia="仿宋_GB2312" w:cs="仿宋_GB2312"/>
          <w:b w:val="0"/>
          <w:bCs w:val="0"/>
          <w:kern w:val="0"/>
          <w:sz w:val="32"/>
          <w:szCs w:val="32"/>
          <w:highlight w:val="none"/>
          <w:lang w:val="en-US" w:eastAsia="zh-CN" w:bidi="ar-SA"/>
        </w:rPr>
      </w:pPr>
      <w:r>
        <w:rPr>
          <w:rFonts w:hint="eastAsia" w:ascii="仿宋_GB2312" w:hAnsi="仿宋_GB2312" w:eastAsia="仿宋_GB2312" w:cs="仿宋_GB2312"/>
          <w:b/>
          <w:bCs/>
          <w:color w:val="000000" w:themeColor="text1"/>
          <w:sz w:val="32"/>
          <w:szCs w:val="32"/>
          <w:highlight w:val="none"/>
          <w:u w:val="none" w:color="auto"/>
          <w:lang w:val="en-US" w:eastAsia="zh-CN"/>
          <w14:textFill>
            <w14:solidFill>
              <w14:schemeClr w14:val="tx1"/>
            </w14:solidFill>
          </w14:textFill>
        </w:rPr>
        <w:t>深化农村重点领域改革。</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推进农村集体产权制度和集体经营性建设用地入市改革，</w:t>
      </w:r>
      <w:r>
        <w:rPr>
          <w:rFonts w:hint="eastAsia" w:ascii="Times New Roman" w:hAnsi="Times New Roman" w:eastAsia="仿宋_GB2312" w:cs="Times New Roman"/>
          <w:b w:val="0"/>
          <w:bCs w:val="0"/>
          <w:color w:val="000000" w:themeColor="text1"/>
          <w:sz w:val="32"/>
          <w:szCs w:val="32"/>
          <w:highlight w:val="none"/>
          <w:u w:val="none" w:color="auto"/>
          <w:lang w:val="en-US" w:eastAsia="zh-CN"/>
          <w14:textFill>
            <w14:solidFill>
              <w14:schemeClr w14:val="tx1"/>
            </w14:solidFill>
          </w14:textFill>
        </w:rPr>
        <w:t>以农投</w:t>
      </w:r>
      <w:r>
        <w:rPr>
          <w:rFonts w:hint="default" w:ascii="Times New Roman" w:hAnsi="Times New Roman" w:eastAsia="仿宋_GB2312" w:cs="Times New Roman"/>
          <w:b w:val="0"/>
          <w:bCs w:val="0"/>
          <w:color w:val="000000" w:themeColor="text1"/>
          <w:sz w:val="32"/>
          <w:szCs w:val="32"/>
          <w:highlight w:val="none"/>
          <w:u w:val="none" w:color="auto"/>
          <w:lang w:val="en-US" w:eastAsia="zh-CN"/>
          <w14:textFill>
            <w14:solidFill>
              <w14:schemeClr w14:val="tx1"/>
            </w14:solidFill>
          </w14:textFill>
        </w:rPr>
        <w:t>公司</w:t>
      </w:r>
      <w:r>
        <w:rPr>
          <w:rFonts w:hint="eastAsia" w:ascii="Times New Roman" w:hAnsi="Times New Roman" w:eastAsia="仿宋_GB2312" w:cs="Times New Roman"/>
          <w:b w:val="0"/>
          <w:bCs w:val="0"/>
          <w:color w:val="000000" w:themeColor="text1"/>
          <w:sz w:val="32"/>
          <w:szCs w:val="32"/>
          <w:highlight w:val="none"/>
          <w:u w:val="none" w:color="auto"/>
          <w:lang w:val="en-US" w:eastAsia="zh-CN"/>
          <w14:textFill>
            <w14:solidFill>
              <w14:schemeClr w14:val="tx1"/>
            </w14:solidFill>
          </w14:textFill>
        </w:rPr>
        <w:t>为牵引</w:t>
      </w:r>
      <w:r>
        <w:rPr>
          <w:rFonts w:hint="default" w:ascii="Times New Roman" w:hAnsi="Times New Roman" w:eastAsia="仿宋_GB2312" w:cs="Times New Roman"/>
          <w:b w:val="0"/>
          <w:bCs w:val="0"/>
          <w:color w:val="000000" w:themeColor="text1"/>
          <w:sz w:val="32"/>
          <w:szCs w:val="32"/>
          <w:highlight w:val="none"/>
          <w:u w:val="none" w:color="auto"/>
          <w:lang w:val="en-US" w:eastAsia="zh-CN"/>
          <w14:textFill>
            <w14:solidFill>
              <w14:schemeClr w14:val="tx1"/>
            </w14:solidFill>
          </w14:textFill>
        </w:rPr>
        <w:t>，</w:t>
      </w:r>
      <w:r>
        <w:rPr>
          <w:rFonts w:hint="eastAsia" w:ascii="Times New Roman" w:hAnsi="Times New Roman" w:eastAsia="仿宋_GB2312" w:cs="Times New Roman"/>
          <w:b w:val="0"/>
          <w:bCs w:val="0"/>
          <w:color w:val="000000" w:themeColor="text1"/>
          <w:sz w:val="32"/>
          <w:szCs w:val="32"/>
          <w:highlight w:val="none"/>
          <w:u w:val="none" w:color="auto"/>
          <w:lang w:val="en-US" w:eastAsia="zh-CN"/>
          <w14:textFill>
            <w14:solidFill>
              <w14:schemeClr w14:val="tx1"/>
            </w14:solidFill>
          </w14:textFill>
        </w:rPr>
        <w:t>盘活集体经济资产，壮大乡、村两级集体经济规模</w:t>
      </w:r>
      <w:r>
        <w:rPr>
          <w:rFonts w:hint="default" w:ascii="Times New Roman" w:hAnsi="Times New Roman" w:eastAsia="仿宋_GB2312" w:cs="Times New Roman"/>
          <w:b w:val="0"/>
          <w:bCs w:val="0"/>
          <w:color w:val="000000" w:themeColor="text1"/>
          <w:sz w:val="32"/>
          <w:szCs w:val="32"/>
          <w:highlight w:val="none"/>
          <w:u w:val="none" w:color="auto"/>
          <w:lang w:val="en-US" w:eastAsia="zh-CN"/>
          <w14:textFill>
            <w14:solidFill>
              <w14:schemeClr w14:val="tx1"/>
            </w14:solidFill>
          </w14:textFill>
        </w:rPr>
        <w:t>，</w:t>
      </w:r>
      <w:r>
        <w:rPr>
          <w:rFonts w:hint="eastAsia" w:ascii="Times New Roman" w:hAnsi="Times New Roman" w:eastAsia="仿宋_GB2312" w:cs="Times New Roman"/>
          <w:b w:val="0"/>
          <w:bCs w:val="0"/>
          <w:color w:val="000000" w:themeColor="text1"/>
          <w:sz w:val="32"/>
          <w:szCs w:val="32"/>
          <w:highlight w:val="none"/>
          <w:u w:val="none" w:color="auto"/>
          <w:lang w:val="en-US" w:eastAsia="zh-CN"/>
          <w14:textFill>
            <w14:solidFill>
              <w14:schemeClr w14:val="tx1"/>
            </w14:solidFill>
          </w14:textFill>
        </w:rPr>
        <w:t>建设和培育</w:t>
      </w:r>
      <w:r>
        <w:rPr>
          <w:rFonts w:hint="default" w:ascii="Times New Roman" w:hAnsi="Times New Roman" w:eastAsia="仿宋_GB2312" w:cs="Times New Roman"/>
          <w:b w:val="0"/>
          <w:bCs w:val="0"/>
          <w:color w:val="000000" w:themeColor="text1"/>
          <w:sz w:val="32"/>
          <w:szCs w:val="32"/>
          <w:highlight w:val="none"/>
          <w:u w:val="none" w:color="auto"/>
          <w:lang w:val="en-US" w:eastAsia="zh-CN"/>
          <w14:textFill>
            <w14:solidFill>
              <w14:schemeClr w14:val="tx1"/>
            </w14:solidFill>
          </w14:textFill>
        </w:rPr>
        <w:t>农产品深加工产业园</w:t>
      </w:r>
      <w:r>
        <w:rPr>
          <w:rFonts w:hint="eastAsia" w:ascii="Times New Roman" w:hAnsi="Times New Roman" w:eastAsia="仿宋_GB2312" w:cs="Times New Roman"/>
          <w:b w:val="0"/>
          <w:bCs w:val="0"/>
          <w:color w:val="000000" w:themeColor="text1"/>
          <w:sz w:val="32"/>
          <w:szCs w:val="32"/>
          <w:highlight w:val="none"/>
          <w:u w:val="none" w:color="auto"/>
          <w:lang w:val="en-US" w:eastAsia="zh-CN"/>
          <w14:textFill>
            <w14:solidFill>
              <w14:schemeClr w14:val="tx1"/>
            </w14:solidFill>
          </w14:textFill>
        </w:rPr>
        <w:t>和</w:t>
      </w:r>
      <w:r>
        <w:rPr>
          <w:rFonts w:hint="default" w:ascii="Times New Roman" w:hAnsi="Times New Roman" w:eastAsia="仿宋_GB2312" w:cs="Times New Roman"/>
          <w:b w:val="0"/>
          <w:bCs w:val="0"/>
          <w:color w:val="000000" w:themeColor="text1"/>
          <w:sz w:val="32"/>
          <w:szCs w:val="32"/>
          <w:highlight w:val="none"/>
          <w:u w:val="none" w:color="auto"/>
          <w:lang w:val="en-US" w:eastAsia="zh-CN"/>
          <w14:textFill>
            <w14:solidFill>
              <w14:schemeClr w14:val="tx1"/>
            </w14:solidFill>
          </w14:textFill>
        </w:rPr>
        <w:t>现代化农业产业园。</w:t>
      </w:r>
      <w:r>
        <w:rPr>
          <w:rFonts w:hint="eastAsia" w:ascii="Times New Roman" w:hAnsi="Times New Roman" w:eastAsia="仿宋_GB2312" w:cs="Times New Roman"/>
          <w:b w:val="0"/>
          <w:bCs w:val="0"/>
          <w:color w:val="000000" w:themeColor="text1"/>
          <w:sz w:val="32"/>
          <w:szCs w:val="32"/>
          <w:highlight w:val="none"/>
          <w:u w:val="none" w:color="auto"/>
          <w:lang w:val="en-US" w:eastAsia="zh-CN"/>
          <w14:textFill>
            <w14:solidFill>
              <w14:schemeClr w14:val="tx1"/>
            </w14:solidFill>
          </w14:textFill>
        </w:rPr>
        <w:t>灵活</w:t>
      </w:r>
      <w:r>
        <w:rPr>
          <w:rFonts w:hint="default" w:ascii="Times New Roman" w:hAnsi="Times New Roman" w:eastAsia="仿宋_GB2312" w:cs="Times New Roman"/>
          <w:b w:val="0"/>
          <w:bCs w:val="0"/>
          <w:color w:val="000000" w:themeColor="text1"/>
          <w:sz w:val="32"/>
          <w:szCs w:val="32"/>
          <w:highlight w:val="none"/>
          <w:u w:val="none" w:color="auto"/>
          <w:lang w:val="en-US" w:eastAsia="zh-CN"/>
          <w14:textFill>
            <w14:solidFill>
              <w14:schemeClr w14:val="tx1"/>
            </w14:solidFill>
          </w14:textFill>
        </w:rPr>
        <w:t>经营辖区坑塘河道</w:t>
      </w:r>
      <w:r>
        <w:rPr>
          <w:rFonts w:hint="eastAsia" w:ascii="Times New Roman" w:hAnsi="Times New Roman" w:eastAsia="仿宋_GB2312" w:cs="Times New Roman"/>
          <w:b w:val="0"/>
          <w:bCs w:val="0"/>
          <w:color w:val="000000" w:themeColor="text1"/>
          <w:sz w:val="32"/>
          <w:szCs w:val="32"/>
          <w:highlight w:val="none"/>
          <w:u w:val="none" w:color="auto"/>
          <w:lang w:val="en-US" w:eastAsia="zh-CN"/>
          <w14:textFill>
            <w14:solidFill>
              <w14:schemeClr w14:val="tx1"/>
            </w14:solidFill>
          </w14:textFill>
        </w:rPr>
        <w:t>、</w:t>
      </w:r>
      <w:r>
        <w:rPr>
          <w:rFonts w:hint="default" w:ascii="Times New Roman" w:hAnsi="Times New Roman" w:eastAsia="仿宋_GB2312" w:cs="Times New Roman"/>
          <w:b w:val="0"/>
          <w:bCs w:val="0"/>
          <w:color w:val="000000" w:themeColor="text1"/>
          <w:sz w:val="32"/>
          <w:szCs w:val="32"/>
          <w:highlight w:val="none"/>
          <w:u w:val="none" w:color="auto"/>
          <w:lang w:val="en-US" w:eastAsia="zh-CN"/>
          <w14:textFill>
            <w14:solidFill>
              <w14:schemeClr w14:val="tx1"/>
            </w14:solidFill>
          </w14:textFill>
        </w:rPr>
        <w:t>闲置地块，壮大村级集体经济</w:t>
      </w:r>
      <w:r>
        <w:rPr>
          <w:rFonts w:hint="eastAsia" w:ascii="Times New Roman" w:hAnsi="Times New Roman" w:eastAsia="仿宋_GB2312" w:cs="Times New Roman"/>
          <w:b w:val="0"/>
          <w:bCs w:val="0"/>
          <w:color w:val="000000" w:themeColor="text1"/>
          <w:sz w:val="32"/>
          <w:szCs w:val="32"/>
          <w:highlight w:val="none"/>
          <w:u w:val="none" w:color="auto"/>
          <w:lang w:val="en-US" w:eastAsia="zh-CN"/>
          <w14:textFill>
            <w14:solidFill>
              <w14:schemeClr w14:val="tx1"/>
            </w14:solidFill>
          </w14:textFill>
        </w:rPr>
        <w:t>。</w:t>
      </w:r>
    </w:p>
    <w:p w14:paraId="15AAFB97">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3" w:firstLineChars="200"/>
        <w:jc w:val="both"/>
        <w:textAlignment w:val="auto"/>
        <w:outlineLvl w:val="9"/>
        <w:rPr>
          <w:rFonts w:hint="eastAsia" w:ascii="仿宋_GB2312" w:hAnsi="仿宋_GB2312" w:eastAsia="仿宋_GB2312" w:cs="仿宋_GB2312"/>
          <w:color w:val="auto"/>
          <w:spacing w:val="0"/>
          <w:w w:val="100"/>
          <w:kern w:val="1"/>
          <w:sz w:val="32"/>
          <w:szCs w:val="32"/>
          <w:highlight w:val="none"/>
          <w:lang w:val="en-US" w:eastAsia="zh-CN"/>
        </w:rPr>
      </w:pPr>
      <w:r>
        <w:rPr>
          <w:rFonts w:hint="eastAsia"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t>（六）深入实施绿色低碳转型战略</w:t>
      </w:r>
    </w:p>
    <w:p w14:paraId="79BD5CF5">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3" w:firstLineChars="200"/>
        <w:jc w:val="both"/>
        <w:textAlignment w:val="auto"/>
        <w:outlineLvl w:val="9"/>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 w:eastAsia="zh-CN"/>
        </w:rPr>
        <w:t>强化污染物控制和治理</w:t>
      </w:r>
      <w:r>
        <w:rPr>
          <w:rFonts w:hint="eastAsia" w:ascii="仿宋_GB2312" w:hAnsi="仿宋_GB2312" w:eastAsia="仿宋_GB2312" w:cs="仿宋_GB2312"/>
          <w:b/>
          <w:bCs/>
          <w:color w:val="auto"/>
          <w:sz w:val="32"/>
          <w:szCs w:val="32"/>
          <w:highlight w:val="none"/>
          <w:lang w:val="en-US" w:eastAsia="zh-CN"/>
        </w:rPr>
        <w:t>。</w:t>
      </w:r>
      <w:r>
        <w:rPr>
          <w:rFonts w:hint="eastAsia" w:ascii="仿宋_GB2312" w:hAnsi="仿宋_GB2312" w:eastAsia="仿宋_GB2312" w:cs="仿宋_GB2312"/>
          <w:color w:val="auto"/>
          <w:spacing w:val="0"/>
          <w:w w:val="100"/>
          <w:kern w:val="1"/>
          <w:sz w:val="32"/>
          <w:szCs w:val="32"/>
          <w:highlight w:val="none"/>
          <w:lang w:val="en-US" w:eastAsia="zh-CN"/>
        </w:rPr>
        <w:t>贯彻落实“党政同责、一岗双责”“三管三必须”工作要求，按照上级下达的年度削减任务，制订实施方案及年度计划，协调落实好污染减排重点措施，降低主要污染物排放，努力实现总量减排新突破。</w:t>
      </w:r>
    </w:p>
    <w:p w14:paraId="514D3D01">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3" w:firstLineChars="200"/>
        <w:jc w:val="both"/>
        <w:textAlignment w:val="auto"/>
        <w:outlineLvl w:val="9"/>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深入推进环境污染防治。</w:t>
      </w:r>
      <w:r>
        <w:rPr>
          <w:rFonts w:hint="eastAsia" w:ascii="仿宋_GB2312" w:hAnsi="仿宋_GB2312" w:eastAsia="仿宋_GB2312" w:cs="仿宋_GB2312"/>
          <w:color w:val="auto"/>
          <w:spacing w:val="0"/>
          <w:w w:val="100"/>
          <w:kern w:val="1"/>
          <w:sz w:val="32"/>
          <w:szCs w:val="32"/>
          <w:highlight w:val="none"/>
          <w:lang w:val="en-US" w:eastAsia="zh-CN"/>
        </w:rPr>
        <w:t>聚焦污染天气消除、臭氧污染防治、柴油货车污染防治，强化区域大气污染协同治理，推动PM10、PM2.5、优良天数“两降一升”。严格落实河湖长制，深入开展“幸福河湖”“美丽河湖”创建，持续开展地下水超采综合治理。严格管控土壤污染源头，强化农村农业面源污染治理，全域推进畜禽粪污资源化利用，加快绿色转型发展。</w:t>
      </w:r>
    </w:p>
    <w:p w14:paraId="6495FAAE">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3"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加快发展方式绿色转型。</w:t>
      </w:r>
      <w:r>
        <w:rPr>
          <w:rFonts w:hint="eastAsia" w:ascii="仿宋_GB2312" w:hAnsi="仿宋_GB2312" w:eastAsia="仿宋_GB2312" w:cs="仿宋_GB2312"/>
          <w:color w:val="auto"/>
          <w:spacing w:val="0"/>
          <w:w w:val="100"/>
          <w:kern w:val="1"/>
          <w:sz w:val="32"/>
          <w:szCs w:val="32"/>
          <w:highlight w:val="none"/>
          <w:lang w:val="en-US" w:eastAsia="zh-CN"/>
        </w:rPr>
        <w:t>发展绿色低碳产业，严控“两高一危”项目，对新建“两高”项目实施产能置换、煤炭、污染物减量替代。统筹推进屋顶分散式光伏、风电、垃圾发电等项目建设，推进风光储一体化项目建设，加快集中式公用充电站建设。发展绿色交通，推广绿色建筑，创建低碳城市、低碳园区、低碳社区，让绿色出行、绿色居住、绿色消费成为新风尚。</w:t>
      </w:r>
    </w:p>
    <w:p w14:paraId="08A12133">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3"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t>（七）全力保障改善民生</w:t>
      </w:r>
    </w:p>
    <w:p w14:paraId="641FB6C2">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3"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000000" w:themeColor="text1"/>
          <w:kern w:val="2"/>
          <w:sz w:val="32"/>
          <w:szCs w:val="32"/>
          <w:highlight w:val="none"/>
          <w:u w:val="none" w:color="auto"/>
          <w:lang w:val="en-US" w:eastAsia="zh-CN" w:bidi="ar-SA"/>
          <w14:textFill>
            <w14:solidFill>
              <w14:schemeClr w14:val="tx1"/>
            </w14:solidFill>
          </w14:textFill>
        </w:rPr>
        <w:t>大力推进</w:t>
      </w:r>
      <w:r>
        <w:rPr>
          <w:rFonts w:hint="eastAsia" w:ascii="仿宋_GB2312" w:hAnsi="仿宋_GB2312" w:eastAsia="仿宋_GB2312" w:cs="仿宋_GB2312"/>
          <w:b/>
          <w:bCs/>
          <w:color w:val="000000" w:themeColor="text1"/>
          <w:sz w:val="32"/>
          <w:szCs w:val="32"/>
          <w:highlight w:val="none"/>
          <w:u w:val="none" w:color="auto"/>
          <w:lang w:val="en-US" w:eastAsia="zh-CN"/>
          <w14:textFill>
            <w14:solidFill>
              <w14:schemeClr w14:val="tx1"/>
            </w14:solidFill>
          </w14:textFill>
        </w:rPr>
        <w:t>教育振兴</w:t>
      </w:r>
      <w:r>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。加快第三职业中专、善庆路小学、和谐路小学等16所学校新建及改扩建项目，</w:t>
      </w:r>
      <w:r>
        <w:rPr>
          <w:rFonts w:hint="default"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切实解决</w:t>
      </w:r>
      <w:r>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县城区</w:t>
      </w:r>
      <w:r>
        <w:rPr>
          <w:rFonts w:hint="default"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上学难、大班额等问题</w:t>
      </w:r>
      <w:r>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推进教师“县管校聘”改革，中小学校长公开竞聘，打造高素质专业化创新型教师队伍，促进教师合理流动、优化资源配置。持续做好“双减”工作，推动义务教育优质均衡发展，促进民办教育规范发展，不断提升</w:t>
      </w:r>
      <w:r>
        <w:rPr>
          <w:rFonts w:hint="default"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高考</w:t>
      </w:r>
      <w:r>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本科</w:t>
      </w:r>
      <w:r>
        <w:rPr>
          <w:rFonts w:hint="default"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上线率</w:t>
      </w:r>
      <w:r>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。保障教师待遇，完善考核晋升机制，激发教师队伍干事创业的活力。</w:t>
      </w:r>
    </w:p>
    <w:p w14:paraId="277EAFC0">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3"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000000" w:themeColor="text1"/>
          <w:sz w:val="32"/>
          <w:szCs w:val="32"/>
          <w:highlight w:val="none"/>
          <w:u w:val="none" w:color="auto"/>
          <w:lang w:val="en-US" w:eastAsia="zh-CN"/>
          <w14:textFill>
            <w14:solidFill>
              <w14:schemeClr w14:val="tx1"/>
            </w14:solidFill>
          </w14:textFill>
        </w:rPr>
        <w:t>优化医疗卫生服务体系。</w:t>
      </w:r>
      <w:r>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认真落实新阶段疫情防控各项举措，保障群众就医用药，重点抓好老年人和基础病人群的防护，推动工作重心从“防感染”向“保健康、防重症”转变。深入推进医共体建设改革，着力提升县域医疗服务能力，全面降低县外转诊率，医疗收入结构向诊断治疗倾斜。加快推进</w:t>
      </w:r>
      <w:r>
        <w:rPr>
          <w:rFonts w:hint="eastAsia" w:ascii="仿宋_GB2312" w:hAnsi="仿宋_GB2312" w:eastAsia="仿宋_GB2312" w:cs="仿宋_GB2312"/>
          <w:color w:val="000000" w:themeColor="text1"/>
          <w:spacing w:val="0"/>
          <w:w w:val="100"/>
          <w:kern w:val="1"/>
          <w:sz w:val="32"/>
          <w:szCs w:val="32"/>
          <w:highlight w:val="none"/>
          <w:lang w:val="en-US" w:eastAsia="zh-CN"/>
          <w14:textFill>
            <w14:solidFill>
              <w14:schemeClr w14:val="tx1"/>
            </w14:solidFill>
          </w14:textFill>
        </w:rPr>
        <w:t>县妇女儿童医院、县第二人民医院</w:t>
      </w:r>
      <w:r>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项目建设。</w:t>
      </w:r>
    </w:p>
    <w:p w14:paraId="45802619">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right="0" w:rightChars="0" w:firstLine="643" w:firstLineChars="200"/>
        <w:jc w:val="both"/>
        <w:textAlignment w:val="auto"/>
        <w:outlineLvl w:val="9"/>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b/>
          <w:bCs/>
          <w:color w:val="000000" w:themeColor="text1"/>
          <w:sz w:val="32"/>
          <w:szCs w:val="32"/>
          <w:highlight w:val="none"/>
          <w:u w:val="none" w:color="auto"/>
          <w:lang w:val="en" w:eastAsia="zh-CN"/>
          <w14:textFill>
            <w14:solidFill>
              <w14:schemeClr w14:val="tx1"/>
            </w14:solidFill>
          </w14:textFill>
        </w:rPr>
        <w:t>全力</w:t>
      </w:r>
      <w:r>
        <w:rPr>
          <w:rFonts w:hint="eastAsia" w:ascii="仿宋_GB2312" w:hAnsi="仿宋_GB2312" w:eastAsia="仿宋_GB2312" w:cs="仿宋_GB2312"/>
          <w:b/>
          <w:bCs/>
          <w:color w:val="000000" w:themeColor="text1"/>
          <w:sz w:val="32"/>
          <w:szCs w:val="32"/>
          <w:highlight w:val="none"/>
          <w:u w:val="none" w:color="auto"/>
          <w:lang w:val="en-US" w:eastAsia="zh-CN"/>
          <w14:textFill>
            <w14:solidFill>
              <w14:schemeClr w14:val="tx1"/>
            </w14:solidFill>
          </w14:textFill>
        </w:rPr>
        <w:t>稳就业促创业。</w:t>
      </w:r>
      <w:r>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做好高校毕业生、退役军人、农民工、城镇困难人员等重点人群就业工作。持续推进全民技能振兴工程、职业技能提升行动和“人人持证、技能河南”建设，</w:t>
      </w:r>
      <w:r>
        <w:rPr>
          <w:rFonts w:hint="eastAsia" w:ascii="仿宋_GB2312" w:hAnsi="仿宋_GB2312" w:eastAsia="仿宋_GB2312" w:cs="仿宋_GB2312"/>
          <w:color w:val="000000" w:themeColor="text1"/>
          <w:sz w:val="32"/>
          <w:szCs w:val="32"/>
          <w:highlight w:val="none"/>
          <w:u w:val="none" w:color="auto"/>
          <w14:textFill>
            <w14:solidFill>
              <w14:schemeClr w14:val="tx1"/>
            </w14:solidFill>
          </w14:textFill>
        </w:rPr>
        <w:t>发挥创业培训、创业融资、孵化平台、创业辅导</w:t>
      </w:r>
      <w:r>
        <w:rPr>
          <w:rFonts w:hint="eastAsia" w:ascii="仿宋_GB2312" w:hAnsi="仿宋_GB2312" w:eastAsia="仿宋_GB2312" w:cs="仿宋_GB2312"/>
          <w:color w:val="000000" w:themeColor="text1"/>
          <w:sz w:val="32"/>
          <w:szCs w:val="32"/>
          <w:highlight w:val="none"/>
          <w:u w:val="none" w:color="auto"/>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四位一体</w:t>
      </w:r>
      <w:r>
        <w:rPr>
          <w:rFonts w:hint="eastAsia" w:ascii="仿宋_GB2312" w:hAnsi="仿宋_GB2312" w:eastAsia="仿宋_GB2312" w:cs="仿宋_GB2312"/>
          <w:color w:val="000000" w:themeColor="text1"/>
          <w:sz w:val="32"/>
          <w:szCs w:val="32"/>
          <w:highlight w:val="none"/>
          <w:u w:val="none" w:color="auto"/>
          <w14:textFill>
            <w14:solidFill>
              <w14:schemeClr w14:val="tx1"/>
            </w14:solidFill>
          </w14:textFill>
        </w:rPr>
        <w:t>”创业带动</w:t>
      </w:r>
      <w:r>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就</w:t>
      </w:r>
      <w:r>
        <w:rPr>
          <w:rFonts w:hint="eastAsia" w:ascii="仿宋_GB2312" w:hAnsi="仿宋_GB2312" w:eastAsia="仿宋_GB2312" w:cs="仿宋_GB2312"/>
          <w:color w:val="000000" w:themeColor="text1"/>
          <w:sz w:val="32"/>
          <w:szCs w:val="32"/>
          <w:highlight w:val="none"/>
          <w:u w:val="none" w:color="auto"/>
          <w14:textFill>
            <w14:solidFill>
              <w14:schemeClr w14:val="tx1"/>
            </w14:solidFill>
          </w14:textFill>
        </w:rPr>
        <w:t>业作用</w:t>
      </w:r>
      <w:r>
        <w:rPr>
          <w:rFonts w:hint="eastAsia" w:ascii="仿宋_GB2312" w:hAnsi="仿宋_GB2312" w:eastAsia="仿宋_GB2312" w:cs="仿宋_GB2312"/>
          <w:color w:val="000000" w:themeColor="text1"/>
          <w:sz w:val="32"/>
          <w:szCs w:val="32"/>
          <w:highlight w:val="none"/>
          <w:u w:val="none" w:color="auto"/>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加强</w:t>
      </w:r>
      <w:r>
        <w:rPr>
          <w:rFonts w:hint="eastAsia" w:ascii="仿宋_GB2312" w:hAnsi="仿宋_GB2312" w:eastAsia="仿宋_GB2312" w:cs="仿宋_GB2312"/>
          <w:color w:val="000000" w:themeColor="text1"/>
          <w:sz w:val="32"/>
          <w:szCs w:val="32"/>
          <w:highlight w:val="none"/>
          <w:u w:val="none" w:color="auto"/>
          <w:lang w:eastAsia="zh-CN"/>
          <w14:textFill>
            <w14:solidFill>
              <w14:schemeClr w14:val="tx1"/>
            </w14:solidFill>
          </w14:textFill>
        </w:rPr>
        <w:t>扶贫车间管理，落实好返乡创业政策，</w:t>
      </w:r>
      <w:r>
        <w:rPr>
          <w:rFonts w:hint="eastAsia" w:ascii="仿宋_GB2312" w:hAnsi="仿宋_GB2312" w:eastAsia="仿宋_GB2312" w:cs="仿宋_GB2312"/>
          <w:color w:val="000000" w:themeColor="text1"/>
          <w:sz w:val="32"/>
          <w:szCs w:val="32"/>
          <w:highlight w:val="none"/>
          <w:u w:val="none" w:color="auto"/>
          <w14:textFill>
            <w14:solidFill>
              <w14:schemeClr w14:val="tx1"/>
            </w14:solidFill>
          </w14:textFill>
        </w:rPr>
        <w:t>加大创业担保贷款扶持力度</w:t>
      </w:r>
      <w:r>
        <w:rPr>
          <w:rFonts w:hint="eastAsia" w:ascii="仿宋_GB2312" w:hAnsi="仿宋_GB2312" w:eastAsia="仿宋_GB2312" w:cs="仿宋_GB2312"/>
          <w:color w:val="000000" w:themeColor="text1"/>
          <w:sz w:val="32"/>
          <w:szCs w:val="32"/>
          <w:highlight w:val="none"/>
          <w:u w:val="none" w:color="auto"/>
          <w:lang w:eastAsia="zh-CN"/>
          <w14:textFill>
            <w14:solidFill>
              <w14:schemeClr w14:val="tx1"/>
            </w14:solidFill>
          </w14:textFill>
        </w:rPr>
        <w:t>，促进富余劳动力就业和困难群众增收。</w:t>
      </w:r>
    </w:p>
    <w:p w14:paraId="25A808AE">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3" w:firstLineChars="200"/>
        <w:jc w:val="both"/>
        <w:textAlignment w:val="auto"/>
        <w:outlineLvl w:val="9"/>
        <w:rPr>
          <w:rFonts w:hint="eastAsia" w:ascii="仿宋_GB2312" w:hAnsi="仿宋_GB2312" w:eastAsia="仿宋_GB2312" w:cs="仿宋_GB2312"/>
          <w:color w:val="auto"/>
          <w:spacing w:val="0"/>
          <w:w w:val="100"/>
          <w:kern w:val="1"/>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全面加强社会保障。</w:t>
      </w:r>
      <w:r>
        <w:rPr>
          <w:rFonts w:hint="eastAsia" w:ascii="仿宋_GB2312" w:hAnsi="仿宋_GB2312" w:eastAsia="仿宋_GB2312" w:cs="仿宋_GB2312"/>
          <w:color w:val="000000" w:themeColor="text1"/>
          <w:spacing w:val="0"/>
          <w:w w:val="100"/>
          <w:kern w:val="1"/>
          <w:sz w:val="32"/>
          <w:szCs w:val="32"/>
          <w:highlight w:val="none"/>
          <w:lang w:val="en-US" w:eastAsia="zh-CN"/>
          <w14:textFill>
            <w14:solidFill>
              <w14:schemeClr w14:val="tx1"/>
            </w14:solidFill>
          </w14:textFill>
        </w:rPr>
        <w:t>规范完善企业职工养老保险基金省级统收统支各项工作</w:t>
      </w:r>
      <w:r>
        <w:rPr>
          <w:rFonts w:hint="eastAsia" w:ascii="仿宋_GB2312" w:hAnsi="仿宋_GB2312" w:eastAsia="仿宋_GB2312" w:cs="仿宋_GB2312"/>
          <w:color w:val="auto"/>
          <w:spacing w:val="0"/>
          <w:w w:val="100"/>
          <w:kern w:val="1"/>
          <w:sz w:val="32"/>
          <w:szCs w:val="32"/>
          <w:highlight w:val="none"/>
          <w:lang w:val="en-US" w:eastAsia="zh-CN"/>
        </w:rPr>
        <w:t>，推进基本医疗、生育、失业保险省级统筹。适度提高退休人员基本养老金、城乡居民基本医疗保险财政补助标准、城乡低保、特困人员、孤儿保障标准及补助水平。建立健全职工医保门诊共济制度，加快医保支付方式改革。加快老年养护院二期建设工程，健全养老服务体系。</w:t>
      </w:r>
    </w:p>
    <w:p w14:paraId="22B27700">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3" w:firstLineChars="200"/>
        <w:jc w:val="both"/>
        <w:textAlignment w:val="auto"/>
        <w:outlineLvl w:val="9"/>
        <w:rPr>
          <w:rFonts w:hint="eastAsia"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pPr>
      <w:r>
        <w:rPr>
          <w:rFonts w:hint="eastAsia" w:ascii="楷体_GB2312" w:hAnsi="楷体_GB2312" w:eastAsia="楷体_GB2312" w:cs="楷体_GB2312"/>
          <w:b/>
          <w:bCs/>
          <w:color w:val="000000" w:themeColor="text1"/>
          <w:spacing w:val="0"/>
          <w:w w:val="100"/>
          <w:sz w:val="32"/>
          <w:szCs w:val="32"/>
          <w:highlight w:val="none"/>
          <w:lang w:val="en-US" w:eastAsia="zh-CN"/>
          <w14:textFill>
            <w14:solidFill>
              <w14:schemeClr w14:val="tx1"/>
            </w14:solidFill>
          </w14:textFill>
        </w:rPr>
        <w:t>（八）坚决守牢安全底线</w:t>
      </w:r>
    </w:p>
    <w:p w14:paraId="3AE12DDF">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3" w:firstLineChars="200"/>
        <w:jc w:val="both"/>
        <w:textAlignment w:val="auto"/>
        <w:outlineLvl w:val="9"/>
        <w:rPr>
          <w:rFonts w:hint="eastAsia" w:ascii="仿宋_GB2312" w:hAnsi="仿宋_GB2312" w:eastAsia="仿宋_GB2312" w:cs="仿宋_GB2312"/>
          <w:color w:val="auto"/>
          <w:spacing w:val="0"/>
          <w:w w:val="100"/>
          <w:kern w:val="1"/>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筑牢安全生产防线。</w:t>
      </w:r>
      <w:r>
        <w:rPr>
          <w:rFonts w:hint="eastAsia" w:ascii="仿宋_GB2312" w:hAnsi="仿宋_GB2312" w:eastAsia="仿宋_GB2312" w:cs="仿宋_GB2312"/>
          <w:color w:val="auto"/>
          <w:spacing w:val="0"/>
          <w:w w:val="100"/>
          <w:kern w:val="1"/>
          <w:sz w:val="32"/>
          <w:szCs w:val="32"/>
          <w:highlight w:val="none"/>
          <w:lang w:val="en-US" w:eastAsia="zh-CN"/>
        </w:rPr>
        <w:t>开展消防、危化、工贸、燃气、交通、住建、特种作业等重点领域安全整治行动，持续开展安全隐患全域大排查行动，动态更新问题隐患清单并及时整改。定期开展综合应急演练实训化训练，进一步增强应急管理水平和应急救援能力。</w:t>
      </w:r>
    </w:p>
    <w:p w14:paraId="06A51D81">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3" w:firstLineChars="200"/>
        <w:jc w:val="both"/>
        <w:textAlignment w:val="auto"/>
        <w:outlineLvl w:val="9"/>
        <w:rPr>
          <w:rFonts w:hint="eastAsia" w:ascii="仿宋_GB2312" w:hAnsi="仿宋_GB2312" w:eastAsia="仿宋_GB2312" w:cs="仿宋_GB2312"/>
          <w:color w:val="auto"/>
          <w:spacing w:val="0"/>
          <w:w w:val="100"/>
          <w:kern w:val="1"/>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防范化解风险隐患。</w:t>
      </w:r>
      <w:r>
        <w:rPr>
          <w:rFonts w:hint="eastAsia" w:ascii="仿宋_GB2312" w:hAnsi="仿宋_GB2312" w:eastAsia="仿宋_GB2312" w:cs="仿宋_GB2312"/>
          <w:color w:val="000000" w:themeColor="text1"/>
          <w:sz w:val="32"/>
          <w:szCs w:val="32"/>
          <w:highlight w:val="none"/>
          <w:u w:val="none" w:color="auto"/>
          <w:lang w:val="en-US" w:eastAsia="zh-CN"/>
          <w14:textFill>
            <w14:solidFill>
              <w14:schemeClr w14:val="tx1"/>
            </w14:solidFill>
          </w14:textFill>
        </w:rPr>
        <w:t>持续开展不良贷款清收，有序化解金融领域案件，严厉打击和处置非法集资，</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提高金融领域风险防范能力。</w:t>
      </w:r>
      <w:r>
        <w:rPr>
          <w:rFonts w:hint="eastAsia" w:ascii="仿宋_GB2312" w:hAnsi="仿宋_GB2312" w:eastAsia="仿宋_GB2312" w:cs="仿宋_GB2312"/>
          <w:color w:val="auto"/>
          <w:spacing w:val="0"/>
          <w:w w:val="100"/>
          <w:kern w:val="1"/>
          <w:sz w:val="32"/>
          <w:szCs w:val="32"/>
          <w:highlight w:val="none"/>
          <w:lang w:val="en-US" w:eastAsia="zh-CN"/>
        </w:rPr>
        <w:t>完成自然灾害综合风险普查，系统治理各类隐患。</w:t>
      </w:r>
    </w:p>
    <w:p w14:paraId="5FF3602D">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3"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持续创新社会治理。</w:t>
      </w:r>
      <w:r>
        <w:rPr>
          <w:rFonts w:hint="eastAsia" w:ascii="仿宋_GB2312" w:hAnsi="仿宋_GB2312" w:eastAsia="仿宋_GB2312" w:cs="仿宋_GB2312"/>
          <w:color w:val="auto"/>
          <w:spacing w:val="0"/>
          <w:w w:val="100"/>
          <w:kern w:val="1"/>
          <w:sz w:val="32"/>
          <w:szCs w:val="32"/>
          <w:highlight w:val="none"/>
          <w:lang w:val="en-US" w:eastAsia="zh-CN"/>
        </w:rPr>
        <w:t>持续深化“三零创建”，完善社会矛盾多元预防化解机制，加强信访法治化建设。常态化开展扫黑除恶专项斗争，持续推进社会治安防控体系建设，扎实开展平安单位（村、社区）创建，依法防范和打击电信网络诈骗等新型违法犯罪。充分发挥网格化管理优势，切实维护人民群众生命财产安全。</w:t>
      </w:r>
    </w:p>
    <w:p w14:paraId="6C0ADD42">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w w:val="100"/>
          <w:kern w:val="1"/>
          <w:sz w:val="32"/>
          <w:szCs w:val="32"/>
          <w:highlight w:val="none"/>
          <w:lang w:val="en-US" w:eastAsia="zh-CN"/>
        </w:rPr>
      </w:pPr>
      <w:r>
        <w:rPr>
          <w:rFonts w:hint="eastAsia" w:ascii="仿宋_GB2312" w:hAnsi="仿宋_GB2312" w:eastAsia="仿宋_GB2312" w:cs="仿宋_GB2312"/>
          <w:color w:val="auto"/>
          <w:spacing w:val="0"/>
          <w:w w:val="100"/>
          <w:kern w:val="1"/>
          <w:sz w:val="32"/>
          <w:szCs w:val="32"/>
          <w:highlight w:val="none"/>
          <w:lang w:val="en-US" w:eastAsia="zh-CN"/>
        </w:rPr>
        <w:t>各位代表！全县政府系统要始终围绕打造平稳健康的经济环境、风清气正的政治环境、国泰民安的社会环境，持续加强自身建设。</w:t>
      </w:r>
      <w:r>
        <w:rPr>
          <w:rFonts w:hint="eastAsia" w:ascii="仿宋_GB2312" w:hAnsi="仿宋_GB2312" w:eastAsia="仿宋_GB2312" w:cs="仿宋_GB2312"/>
          <w:b/>
          <w:bCs/>
          <w:color w:val="auto"/>
          <w:sz w:val="32"/>
          <w:szCs w:val="32"/>
          <w:highlight w:val="none"/>
          <w:lang w:val="en-US" w:eastAsia="zh-CN"/>
        </w:rPr>
        <w:t>严守政治规矩。</w:t>
      </w:r>
      <w:r>
        <w:rPr>
          <w:rFonts w:hint="eastAsia" w:ascii="仿宋_GB2312" w:hAnsi="仿宋_GB2312" w:eastAsia="仿宋_GB2312" w:cs="仿宋_GB2312"/>
          <w:color w:val="auto"/>
          <w:spacing w:val="0"/>
          <w:w w:val="100"/>
          <w:kern w:val="1"/>
          <w:sz w:val="32"/>
          <w:szCs w:val="32"/>
          <w:highlight w:val="none"/>
          <w:lang w:val="en-US" w:eastAsia="zh-CN"/>
        </w:rPr>
        <w:t>坚决拥护“两个确立”，增强“四个意识”、坚定“四个自信”、做到“两个维护”，不断提高政治判断力、政治领悟力、政治执行力，始终把讲政治融入政府工作之中。</w:t>
      </w:r>
      <w:r>
        <w:rPr>
          <w:rFonts w:hint="eastAsia" w:ascii="仿宋_GB2312" w:hAnsi="仿宋_GB2312" w:eastAsia="仿宋_GB2312" w:cs="仿宋_GB2312"/>
          <w:b/>
          <w:bCs/>
          <w:color w:val="auto"/>
          <w:sz w:val="32"/>
          <w:szCs w:val="32"/>
          <w:highlight w:val="none"/>
          <w:lang w:val="en-US" w:eastAsia="zh-CN"/>
        </w:rPr>
        <w:t>坚持依法行政。</w:t>
      </w:r>
      <w:r>
        <w:rPr>
          <w:rFonts w:hint="eastAsia" w:ascii="仿宋_GB2312" w:hAnsi="仿宋_GB2312" w:eastAsia="仿宋_GB2312" w:cs="仿宋_GB2312"/>
          <w:color w:val="auto"/>
          <w:spacing w:val="0"/>
          <w:w w:val="100"/>
          <w:kern w:val="1"/>
          <w:sz w:val="32"/>
          <w:szCs w:val="32"/>
          <w:highlight w:val="none"/>
          <w:lang w:val="en-US" w:eastAsia="zh-CN"/>
        </w:rPr>
        <w:t>加强科学民主决策，深化政务公开，推进法治政府建设。坚决执行</w:t>
      </w:r>
      <w:r>
        <w:rPr>
          <w:rFonts w:hint="eastAsia" w:ascii="仿宋_GB2312" w:hAnsi="仿宋_GB2312" w:eastAsia="仿宋_GB2312" w:cs="仿宋_GB2312"/>
          <w:color w:val="000000" w:themeColor="text1"/>
          <w:spacing w:val="0"/>
          <w:w w:val="100"/>
          <w:kern w:val="1"/>
          <w:sz w:val="32"/>
          <w:szCs w:val="32"/>
          <w:highlight w:val="none"/>
          <w:lang w:val="en-US" w:eastAsia="zh-CN"/>
          <w14:textFill>
            <w14:solidFill>
              <w14:schemeClr w14:val="tx1"/>
            </w14:solidFill>
          </w14:textFill>
        </w:rPr>
        <w:t>县委</w:t>
      </w:r>
      <w:r>
        <w:rPr>
          <w:rFonts w:hint="eastAsia" w:ascii="仿宋_GB2312" w:hAnsi="仿宋_GB2312" w:eastAsia="仿宋_GB2312" w:cs="仿宋_GB2312"/>
          <w:color w:val="auto"/>
          <w:spacing w:val="0"/>
          <w:w w:val="100"/>
          <w:kern w:val="1"/>
          <w:sz w:val="32"/>
          <w:szCs w:val="32"/>
          <w:highlight w:val="none"/>
          <w:lang w:val="en-US" w:eastAsia="zh-CN"/>
        </w:rPr>
        <w:t>决策、人大决议，扎实办理人大代表建议、政协提案，及时向人大报告、向政协通报政府工作。依法接受同级人大及其常委会监督、政协民主监督，主动接受社会和舆论监督。加强审计、统计监督。</w:t>
      </w:r>
      <w:r>
        <w:rPr>
          <w:rFonts w:hint="eastAsia" w:ascii="仿宋_GB2312" w:hAnsi="仿宋_GB2312" w:eastAsia="仿宋_GB2312" w:cs="仿宋_GB2312"/>
          <w:b/>
          <w:bCs/>
          <w:color w:val="auto"/>
          <w:sz w:val="32"/>
          <w:szCs w:val="32"/>
          <w:highlight w:val="none"/>
          <w:lang w:val="en-US" w:eastAsia="zh-CN"/>
        </w:rPr>
        <w:t>切实改进作风。</w:t>
      </w:r>
      <w:r>
        <w:rPr>
          <w:rFonts w:hint="eastAsia" w:ascii="仿宋_GB2312" w:hAnsi="仿宋_GB2312" w:eastAsia="仿宋_GB2312" w:cs="仿宋_GB2312"/>
          <w:color w:val="auto"/>
          <w:spacing w:val="0"/>
          <w:w w:val="100"/>
          <w:kern w:val="1"/>
          <w:sz w:val="32"/>
          <w:szCs w:val="32"/>
          <w:highlight w:val="none"/>
          <w:lang w:val="en-US" w:eastAsia="zh-CN"/>
        </w:rPr>
        <w:t>坚决纠治形式主义、官僚主义，认真落实“13710”工作要求，突出目标导向、问题导向、结果导向，发扬担当和斗争精神，躬身入局，靠前指挥，全力解决群众所需、企业所盼。</w:t>
      </w:r>
      <w:r>
        <w:rPr>
          <w:rFonts w:hint="eastAsia" w:ascii="仿宋_GB2312" w:hAnsi="仿宋_GB2312" w:eastAsia="仿宋_GB2312" w:cs="仿宋_GB2312"/>
          <w:b/>
          <w:bCs/>
          <w:color w:val="auto"/>
          <w:sz w:val="32"/>
          <w:szCs w:val="32"/>
          <w:highlight w:val="none"/>
          <w:lang w:val="en-US" w:eastAsia="zh-CN"/>
        </w:rPr>
        <w:t>建设廉洁政府。</w:t>
      </w:r>
      <w:r>
        <w:rPr>
          <w:rFonts w:hint="eastAsia" w:ascii="仿宋_GB2312" w:hAnsi="仿宋_GB2312" w:eastAsia="仿宋_GB2312" w:cs="仿宋_GB2312"/>
          <w:color w:val="auto"/>
          <w:spacing w:val="0"/>
          <w:w w:val="100"/>
          <w:kern w:val="1"/>
          <w:sz w:val="32"/>
          <w:szCs w:val="32"/>
          <w:highlight w:val="none"/>
          <w:lang w:val="en-US" w:eastAsia="zh-CN"/>
        </w:rPr>
        <w:t>扛牢政府系统全面从严治党主体责任，深入推进政府系统党风廉政建设和反腐败斗争，严格落实中央八项规定，强化重要领域关键岗位监管，严肃处理漠视群众合法权益问题，永葆人民公仆清廉本色。</w:t>
      </w:r>
    </w:p>
    <w:p w14:paraId="694983E4">
      <w:pPr>
        <w:keepNext w:val="0"/>
        <w:keepLines w:val="0"/>
        <w:pageBreakBefore w:val="0"/>
        <w:widowControl w:val="0"/>
        <w:numPr>
          <w:ilvl w:val="0"/>
          <w:numId w:val="0"/>
        </w:numPr>
        <w:pBdr>
          <w:top w:val="none" w:color="000000" w:sz="0" w:space="0"/>
          <w:left w:val="none" w:color="000000" w:sz="0" w:space="18"/>
          <w:bottom w:val="none" w:color="000000" w:sz="0" w:space="7"/>
          <w:right w:val="none" w:color="000000" w:sz="0" w:space="18"/>
        </w:pBdr>
        <w:shd w:val="clear"/>
        <w:tabs>
          <w:tab w:val="left" w:pos="630"/>
        </w:tabs>
        <w:kinsoku/>
        <w:wordWrap/>
        <w:overflowPunct/>
        <w:topLinePunct w:val="0"/>
        <w:autoSpaceDE/>
        <w:autoSpaceDN/>
        <w:bidi w:val="0"/>
        <w:adjustRightInd/>
        <w:snapToGrid/>
        <w:spacing w:before="0" w:line="60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w w:val="100"/>
          <w:kern w:val="1"/>
          <w:sz w:val="32"/>
          <w:szCs w:val="32"/>
          <w:highlight w:val="none"/>
          <w:lang w:val="en-US" w:eastAsia="zh-CN"/>
        </w:rPr>
      </w:pPr>
      <w:r>
        <w:rPr>
          <w:rFonts w:hint="eastAsia" w:ascii="仿宋_GB2312" w:hAnsi="仿宋_GB2312" w:eastAsia="仿宋_GB2312" w:cs="仿宋_GB2312"/>
          <w:color w:val="auto"/>
          <w:spacing w:val="0"/>
          <w:w w:val="100"/>
          <w:kern w:val="1"/>
          <w:sz w:val="32"/>
          <w:szCs w:val="32"/>
          <w:highlight w:val="none"/>
          <w:lang w:val="en-US" w:eastAsia="zh-CN"/>
        </w:rPr>
        <w:t>各位代表！让我们更加紧密地团结在以习近平同志为核心的党中央周围，在省委省政府、市委市政府和县委的坚强领导下，埋头苦干、勇毅前行，为全面建设社会主义现代化沈丘而团结奋斗，奋力谱写中国式现代化沈丘绚丽新篇章！</w:t>
      </w:r>
    </w:p>
    <w:p w14:paraId="41C16E9C">
      <w:pPr>
        <w:rPr>
          <w:rFonts w:hint="eastAsia" w:ascii="仿宋_GB2312" w:hAnsi="仿宋_GB2312" w:eastAsia="仿宋_GB2312" w:cs="仿宋_GB2312"/>
          <w:color w:val="auto"/>
          <w:spacing w:val="0"/>
          <w:w w:val="100"/>
          <w:kern w:val="1"/>
          <w:sz w:val="32"/>
          <w:szCs w:val="32"/>
          <w:highlight w:val="none"/>
          <w:lang w:val="en-US" w:eastAsia="zh-CN"/>
        </w:rPr>
      </w:pPr>
      <w:r>
        <w:rPr>
          <w:rFonts w:hint="eastAsia" w:ascii="仿宋_GB2312" w:hAnsi="仿宋_GB2312" w:eastAsia="仿宋_GB2312" w:cs="仿宋_GB2312"/>
          <w:color w:val="auto"/>
          <w:spacing w:val="0"/>
          <w:w w:val="100"/>
          <w:kern w:val="1"/>
          <w:sz w:val="32"/>
          <w:szCs w:val="32"/>
          <w:highlight w:val="none"/>
          <w:lang w:val="en-US" w:eastAsia="zh-CN"/>
        </w:rPr>
        <w:br w:type="page"/>
      </w:r>
    </w:p>
    <w:p w14:paraId="1BC74A37">
      <w:pPr>
        <w:pStyle w:val="2"/>
        <w:rPr>
          <w:rFonts w:hint="eastAsia"/>
          <w:lang w:val="en-US" w:eastAsia="zh-CN"/>
        </w:rPr>
      </w:pPr>
    </w:p>
    <w:p w14:paraId="3570CBC2">
      <w:pPr>
        <w:keepNext w:val="0"/>
        <w:keepLines w:val="0"/>
        <w:pageBreakBefore w:val="0"/>
        <w:widowControl w:val="0"/>
        <w:shd w:val="clear"/>
        <w:kinsoku/>
        <w:wordWrap/>
        <w:overflowPunct/>
        <w:topLinePunct w:val="0"/>
        <w:autoSpaceDE/>
        <w:autoSpaceDN/>
        <w:bidi w:val="0"/>
        <w:adjustRightInd/>
        <w:spacing w:line="600" w:lineRule="exact"/>
        <w:ind w:left="0" w:leftChars="0"/>
        <w:jc w:val="center"/>
        <w:textAlignment w:val="auto"/>
        <w:rPr>
          <w:rFonts w:hint="eastAsia" w:ascii="方正小标宋简体" w:hAnsi="方正小标宋简体" w:eastAsia="方正小标宋简体" w:cs="方正小标宋简体"/>
          <w:sz w:val="44"/>
          <w:szCs w:val="44"/>
          <w:highlight w:val="none"/>
          <w:lang w:eastAsia="zh-CN"/>
        </w:rPr>
      </w:pPr>
      <w:r>
        <w:rPr>
          <w:rFonts w:hint="eastAsia" w:ascii="方正小标宋简体" w:hAnsi="方正小标宋简体" w:eastAsia="方正小标宋简体" w:cs="方正小标宋简体"/>
          <w:sz w:val="44"/>
          <w:szCs w:val="44"/>
          <w:highlight w:val="none"/>
          <w:lang w:eastAsia="zh-CN"/>
        </w:rPr>
        <w:t>《政府工作报告》名词解释</w:t>
      </w:r>
    </w:p>
    <w:p w14:paraId="285BF785">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p>
    <w:p w14:paraId="6AB4B895">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1.“三个一批”</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P2</w:t>
      </w:r>
    </w:p>
    <w:p w14:paraId="35242C5B">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仿宋_GB2312" w:hAnsi="仿宋_GB2312" w:eastAsia="仿宋_GB2312" w:cs="仿宋_GB2312"/>
          <w:color w:val="auto"/>
          <w:spacing w:val="0"/>
          <w:w w:val="100"/>
          <w:kern w:val="1"/>
          <w:sz w:val="32"/>
          <w:szCs w:val="32"/>
          <w:highlight w:val="none"/>
          <w:lang w:val="en-US" w:eastAsia="zh-CN"/>
        </w:rPr>
        <w:t>即</w:t>
      </w:r>
      <w:r>
        <w:rPr>
          <w:rFonts w:hint="default" w:ascii="仿宋_GB2312" w:hAnsi="仿宋_GB2312" w:eastAsia="仿宋_GB2312" w:cs="仿宋_GB2312"/>
          <w:color w:val="auto"/>
          <w:spacing w:val="0"/>
          <w:w w:val="100"/>
          <w:kern w:val="1"/>
          <w:sz w:val="32"/>
          <w:szCs w:val="32"/>
          <w:highlight w:val="none"/>
          <w:lang w:val="en-US" w:eastAsia="zh-CN"/>
        </w:rPr>
        <w:t>签约一批、开工一批、投产一批。</w:t>
      </w:r>
    </w:p>
    <w:p w14:paraId="6BDD265D">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2.“万人助万企”</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P2</w:t>
      </w:r>
    </w:p>
    <w:p w14:paraId="79E9E1B7">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黑体" w:hAnsi="黑体" w:eastAsia="黑体" w:cs="黑体"/>
          <w:color w:val="000000" w:themeColor="text1"/>
          <w:spacing w:val="0"/>
          <w:w w:val="100"/>
          <w:kern w:val="2"/>
          <w:sz w:val="32"/>
          <w:szCs w:val="32"/>
          <w:highlight w:val="none"/>
          <w:u w:val="none" w:color="auto"/>
          <w:lang w:val="en" w:eastAsia="zh-CN" w:bidi="ar-SA"/>
          <w14:textFill>
            <w14:solidFill>
              <w14:schemeClr w14:val="tx1"/>
            </w14:solidFill>
          </w14:textFill>
        </w:rPr>
      </w:pPr>
      <w:r>
        <w:rPr>
          <w:rFonts w:hint="eastAsia" w:ascii="仿宋_GB2312" w:hAnsi="仿宋_GB2312" w:eastAsia="仿宋_GB2312" w:cs="仿宋_GB2312"/>
          <w:color w:val="auto"/>
          <w:spacing w:val="0"/>
          <w:w w:val="100"/>
          <w:kern w:val="1"/>
          <w:sz w:val="32"/>
          <w:szCs w:val="32"/>
          <w:highlight w:val="none"/>
          <w:lang w:val="en-US" w:eastAsia="zh-CN"/>
        </w:rPr>
        <w:t>即组织万名机关事业单位干部走进万户企业</w:t>
      </w:r>
      <w:r>
        <w:rPr>
          <w:rFonts w:hint="eastAsia" w:ascii="仿宋_GB2312" w:hAnsi="仿宋_GB2312" w:eastAsia="仿宋_GB2312" w:cs="仿宋_GB2312"/>
          <w:color w:val="auto"/>
          <w:spacing w:val="0"/>
          <w:w w:val="100"/>
          <w:kern w:val="1"/>
          <w:sz w:val="32"/>
          <w:szCs w:val="32"/>
          <w:highlight w:val="none"/>
          <w:lang w:val="en" w:eastAsia="zh-CN"/>
        </w:rPr>
        <w:t>，</w:t>
      </w:r>
      <w:r>
        <w:rPr>
          <w:rFonts w:hint="eastAsia" w:ascii="仿宋_GB2312" w:hAnsi="仿宋_GB2312" w:eastAsia="仿宋_GB2312" w:cs="仿宋_GB2312"/>
          <w:color w:val="auto"/>
          <w:spacing w:val="0"/>
          <w:w w:val="100"/>
          <w:kern w:val="1"/>
          <w:sz w:val="32"/>
          <w:szCs w:val="32"/>
          <w:highlight w:val="none"/>
          <w:lang w:val="en-US" w:eastAsia="zh-CN"/>
        </w:rPr>
        <w:t>坚持问题导向</w:t>
      </w:r>
      <w:r>
        <w:rPr>
          <w:rFonts w:hint="eastAsia" w:ascii="仿宋_GB2312" w:hAnsi="仿宋_GB2312" w:eastAsia="仿宋_GB2312" w:cs="仿宋_GB2312"/>
          <w:color w:val="auto"/>
          <w:spacing w:val="0"/>
          <w:w w:val="100"/>
          <w:kern w:val="1"/>
          <w:sz w:val="32"/>
          <w:szCs w:val="32"/>
          <w:highlight w:val="none"/>
          <w:lang w:val="en" w:eastAsia="zh-CN"/>
        </w:rPr>
        <w:t>、</w:t>
      </w:r>
      <w:r>
        <w:rPr>
          <w:rFonts w:hint="eastAsia" w:ascii="仿宋_GB2312" w:hAnsi="仿宋_GB2312" w:eastAsia="仿宋_GB2312" w:cs="仿宋_GB2312"/>
          <w:color w:val="auto"/>
          <w:spacing w:val="0"/>
          <w:w w:val="100"/>
          <w:kern w:val="1"/>
          <w:sz w:val="32"/>
          <w:szCs w:val="32"/>
          <w:highlight w:val="none"/>
          <w:lang w:val="en-US" w:eastAsia="zh-CN"/>
        </w:rPr>
        <w:t>目标导向和结果导向</w:t>
      </w:r>
      <w:r>
        <w:rPr>
          <w:rFonts w:hint="eastAsia" w:ascii="仿宋_GB2312" w:hAnsi="仿宋_GB2312" w:eastAsia="仿宋_GB2312" w:cs="仿宋_GB2312"/>
          <w:color w:val="auto"/>
          <w:spacing w:val="0"/>
          <w:w w:val="100"/>
          <w:kern w:val="1"/>
          <w:sz w:val="32"/>
          <w:szCs w:val="32"/>
          <w:highlight w:val="none"/>
          <w:lang w:val="en" w:eastAsia="zh-CN"/>
        </w:rPr>
        <w:t>，</w:t>
      </w:r>
      <w:r>
        <w:rPr>
          <w:rFonts w:hint="eastAsia" w:ascii="仿宋_GB2312" w:hAnsi="仿宋_GB2312" w:eastAsia="仿宋_GB2312" w:cs="仿宋_GB2312"/>
          <w:color w:val="auto"/>
          <w:spacing w:val="0"/>
          <w:w w:val="100"/>
          <w:kern w:val="1"/>
          <w:sz w:val="32"/>
          <w:szCs w:val="32"/>
          <w:highlight w:val="none"/>
          <w:lang w:val="en-US" w:eastAsia="zh-CN"/>
        </w:rPr>
        <w:t>帮助企业解决实际问题</w:t>
      </w:r>
      <w:r>
        <w:rPr>
          <w:rFonts w:hint="eastAsia" w:ascii="仿宋_GB2312" w:hAnsi="仿宋_GB2312" w:eastAsia="仿宋_GB2312" w:cs="仿宋_GB2312"/>
          <w:color w:val="auto"/>
          <w:spacing w:val="0"/>
          <w:w w:val="100"/>
          <w:kern w:val="1"/>
          <w:sz w:val="32"/>
          <w:szCs w:val="32"/>
          <w:highlight w:val="none"/>
          <w:lang w:val="en" w:eastAsia="zh-CN"/>
        </w:rPr>
        <w:t>，</w:t>
      </w:r>
      <w:r>
        <w:rPr>
          <w:rFonts w:hint="eastAsia" w:ascii="仿宋_GB2312" w:hAnsi="仿宋_GB2312" w:eastAsia="仿宋_GB2312" w:cs="仿宋_GB2312"/>
          <w:color w:val="auto"/>
          <w:spacing w:val="0"/>
          <w:w w:val="100"/>
          <w:kern w:val="1"/>
          <w:sz w:val="32"/>
          <w:szCs w:val="32"/>
          <w:highlight w:val="none"/>
          <w:lang w:val="en-US" w:eastAsia="zh-CN"/>
        </w:rPr>
        <w:t>提振企业发展信心</w:t>
      </w:r>
      <w:r>
        <w:rPr>
          <w:rFonts w:hint="eastAsia" w:ascii="仿宋_GB2312" w:hAnsi="仿宋_GB2312" w:eastAsia="仿宋_GB2312" w:cs="仿宋_GB2312"/>
          <w:color w:val="auto"/>
          <w:spacing w:val="0"/>
          <w:w w:val="100"/>
          <w:kern w:val="1"/>
          <w:sz w:val="32"/>
          <w:szCs w:val="32"/>
          <w:highlight w:val="none"/>
          <w:lang w:val="en" w:eastAsia="zh-CN"/>
        </w:rPr>
        <w:t>，</w:t>
      </w:r>
      <w:r>
        <w:rPr>
          <w:rFonts w:hint="eastAsia" w:ascii="仿宋_GB2312" w:hAnsi="仿宋_GB2312" w:eastAsia="仿宋_GB2312" w:cs="仿宋_GB2312"/>
          <w:color w:val="auto"/>
          <w:spacing w:val="0"/>
          <w:w w:val="100"/>
          <w:kern w:val="1"/>
          <w:sz w:val="32"/>
          <w:szCs w:val="32"/>
          <w:highlight w:val="none"/>
          <w:lang w:val="en-US" w:eastAsia="zh-CN"/>
        </w:rPr>
        <w:t>激发企业内生动力和创新创造活力</w:t>
      </w:r>
      <w:r>
        <w:rPr>
          <w:rFonts w:hint="eastAsia" w:ascii="仿宋_GB2312" w:hAnsi="仿宋_GB2312" w:eastAsia="仿宋_GB2312" w:cs="仿宋_GB2312"/>
          <w:color w:val="auto"/>
          <w:spacing w:val="0"/>
          <w:w w:val="100"/>
          <w:kern w:val="1"/>
          <w:sz w:val="32"/>
          <w:szCs w:val="32"/>
          <w:highlight w:val="none"/>
          <w:lang w:val="en" w:eastAsia="zh-CN"/>
        </w:rPr>
        <w:t>。</w:t>
      </w:r>
    </w:p>
    <w:p w14:paraId="702109B9">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3.“专精特新”</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P3</w:t>
      </w:r>
    </w:p>
    <w:p w14:paraId="383EDBE5">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仿宋_GB2312" w:hAnsi="仿宋_GB2312" w:eastAsia="仿宋_GB2312" w:cs="仿宋_GB2312"/>
          <w:color w:val="auto"/>
          <w:spacing w:val="0"/>
          <w:w w:val="100"/>
          <w:kern w:val="1"/>
          <w:sz w:val="32"/>
          <w:szCs w:val="32"/>
          <w:highlight w:val="none"/>
          <w:lang w:val="en-US" w:eastAsia="zh-CN"/>
        </w:rPr>
        <w:t>即指中小企业具备专业化、精细化、特色化、新颖化的特征。</w:t>
      </w:r>
    </w:p>
    <w:p w14:paraId="10EAB1B1">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4.“瞪羚”企业</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P3</w:t>
      </w:r>
    </w:p>
    <w:p w14:paraId="66505D9C">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仿宋_GB2312" w:hAnsi="仿宋_GB2312" w:eastAsia="仿宋_GB2312" w:cs="仿宋_GB2312"/>
          <w:color w:val="auto"/>
          <w:spacing w:val="0"/>
          <w:w w:val="100"/>
          <w:kern w:val="1"/>
          <w:sz w:val="32"/>
          <w:szCs w:val="32"/>
          <w:highlight w:val="none"/>
          <w:lang w:val="en-US" w:eastAsia="zh-CN"/>
        </w:rPr>
        <w:t>即创业后跨过死亡谷以科技创新或商业模式创新为支撑进入高成长期的中小企业，它们具有与“瞪羚”共同的特征——个头不大、跑得快、跳得高。</w:t>
      </w:r>
    </w:p>
    <w:p w14:paraId="6326423F">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5.“两违”建筑</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P3</w:t>
      </w:r>
    </w:p>
    <w:p w14:paraId="03F4DA06">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仿宋_GB2312" w:hAnsi="仿宋_GB2312" w:eastAsia="仿宋_GB2312" w:cs="仿宋_GB2312"/>
          <w:color w:val="auto"/>
          <w:spacing w:val="0"/>
          <w:w w:val="100"/>
          <w:kern w:val="1"/>
          <w:sz w:val="32"/>
          <w:szCs w:val="32"/>
          <w:highlight w:val="none"/>
          <w:lang w:val="en-US" w:eastAsia="zh-CN"/>
        </w:rPr>
        <w:t>即</w:t>
      </w:r>
      <w:r>
        <w:rPr>
          <w:rFonts w:hint="default" w:ascii="仿宋_GB2312" w:hAnsi="仿宋_GB2312" w:eastAsia="仿宋_GB2312" w:cs="仿宋_GB2312"/>
          <w:color w:val="auto"/>
          <w:spacing w:val="0"/>
          <w:w w:val="100"/>
          <w:kern w:val="1"/>
          <w:sz w:val="32"/>
          <w:szCs w:val="32"/>
          <w:highlight w:val="none"/>
          <w:lang w:val="en-US" w:eastAsia="zh-CN"/>
        </w:rPr>
        <w:t>违法用地、违法建设的建筑。</w:t>
      </w:r>
    </w:p>
    <w:p w14:paraId="66CC9B58">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6.“四好农村路”</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P4</w:t>
      </w:r>
    </w:p>
    <w:p w14:paraId="7345D940">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仿宋_GB2312" w:hAnsi="仿宋_GB2312" w:eastAsia="仿宋_GB2312" w:cs="仿宋_GB2312"/>
          <w:color w:val="auto"/>
          <w:spacing w:val="0"/>
          <w:w w:val="100"/>
          <w:kern w:val="1"/>
          <w:sz w:val="32"/>
          <w:szCs w:val="32"/>
          <w:highlight w:val="none"/>
          <w:lang w:val="en-US" w:eastAsia="zh-CN"/>
        </w:rPr>
        <w:t>即农村公路要建好、管好、护好、运营好。</w:t>
      </w:r>
    </w:p>
    <w:p w14:paraId="65EF0195">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7.“三边四化五美”</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P4</w:t>
      </w:r>
    </w:p>
    <w:p w14:paraId="226D6915">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仿宋_GB2312" w:hAnsi="仿宋_GB2312" w:eastAsia="仿宋_GB2312" w:cs="仿宋_GB2312"/>
          <w:color w:val="auto"/>
          <w:spacing w:val="0"/>
          <w:w w:val="100"/>
          <w:kern w:val="1"/>
          <w:sz w:val="32"/>
          <w:szCs w:val="32"/>
          <w:highlight w:val="none"/>
          <w:lang w:val="en-US" w:eastAsia="zh-CN"/>
        </w:rPr>
        <w:t>即</w:t>
      </w:r>
      <w:r>
        <w:rPr>
          <w:rFonts w:hint="default" w:ascii="仿宋_GB2312" w:hAnsi="仿宋_GB2312" w:eastAsia="仿宋_GB2312" w:cs="仿宋_GB2312"/>
          <w:color w:val="auto"/>
          <w:spacing w:val="0"/>
          <w:w w:val="100"/>
          <w:kern w:val="1"/>
          <w:sz w:val="32"/>
          <w:szCs w:val="32"/>
          <w:highlight w:val="none"/>
          <w:lang w:val="en-US" w:eastAsia="zh-CN"/>
        </w:rPr>
        <w:t>围绕村边、路边、水边“三边”，推进净化、绿化、美化、文化“四化”，打造“美丽通道、美丽集镇、美丽田园、美丽村庄、美丽庭院”。</w:t>
      </w:r>
    </w:p>
    <w:p w14:paraId="48FE171D">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8.“一河四渠”</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P5</w:t>
      </w:r>
    </w:p>
    <w:p w14:paraId="5F0DE60A">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仿宋_GB2312" w:hAnsi="仿宋_GB2312" w:eastAsia="仿宋_GB2312" w:cs="仿宋_GB2312"/>
          <w:color w:val="auto"/>
          <w:spacing w:val="0"/>
          <w:w w:val="100"/>
          <w:kern w:val="1"/>
          <w:sz w:val="32"/>
          <w:szCs w:val="32"/>
          <w:highlight w:val="none"/>
          <w:lang w:val="en-US" w:eastAsia="zh-CN"/>
        </w:rPr>
        <w:t>即西蔡河、沙北总干渠、沙北一干渠、沙南干渠、向阳沟。</w:t>
      </w:r>
    </w:p>
    <w:p w14:paraId="09C05447">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9.“三网”</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P5</w:t>
      </w:r>
    </w:p>
    <w:p w14:paraId="0DC17BF0">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仿宋_GB2312" w:hAnsi="仿宋_GB2312" w:eastAsia="仿宋_GB2312" w:cs="仿宋_GB2312"/>
          <w:color w:val="auto"/>
          <w:spacing w:val="0"/>
          <w:w w:val="100"/>
          <w:kern w:val="1"/>
          <w:sz w:val="32"/>
          <w:szCs w:val="32"/>
          <w:highlight w:val="none"/>
          <w:lang w:val="en-US" w:eastAsia="zh-CN"/>
        </w:rPr>
        <w:t>即水网、路网、林网。</w:t>
      </w:r>
    </w:p>
    <w:p w14:paraId="09C81DFF">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10.“一村万树”工程</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P5</w:t>
      </w:r>
    </w:p>
    <w:p w14:paraId="49A1E4A2">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pacing w:val="0"/>
          <w:w w:val="100"/>
          <w:kern w:val="1"/>
          <w:sz w:val="32"/>
          <w:szCs w:val="32"/>
          <w:highlight w:val="none"/>
          <w:lang w:val="en-US" w:eastAsia="zh-CN"/>
        </w:rPr>
      </w:pPr>
      <w:r>
        <w:rPr>
          <w:rFonts w:hint="eastAsia" w:ascii="仿宋_GB2312" w:hAnsi="仿宋_GB2312" w:eastAsia="仿宋_GB2312" w:cs="仿宋_GB2312"/>
          <w:color w:val="auto"/>
          <w:spacing w:val="0"/>
          <w:w w:val="100"/>
          <w:kern w:val="1"/>
          <w:sz w:val="32"/>
          <w:szCs w:val="32"/>
          <w:highlight w:val="none"/>
          <w:lang w:val="en-US" w:eastAsia="zh-CN"/>
        </w:rPr>
        <w:t>即按照“每个行政村栽植一种高经济效益的名贵树种，新植约1万株以上苗木”的标准，对全县612个村（社区）的空闲宅基地、坑塘边、边角地、废闲地和围村林进行绿化改造。</w:t>
      </w:r>
    </w:p>
    <w:p w14:paraId="03F7CE88">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11.“三零”</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P6</w:t>
      </w:r>
    </w:p>
    <w:p w14:paraId="326299FB">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pacing w:val="0"/>
          <w:w w:val="100"/>
          <w:kern w:val="1"/>
          <w:sz w:val="32"/>
          <w:szCs w:val="32"/>
          <w:highlight w:val="none"/>
          <w:lang w:val="en-US" w:eastAsia="zh-CN"/>
        </w:rPr>
      </w:pPr>
      <w:r>
        <w:rPr>
          <w:rFonts w:hint="eastAsia" w:ascii="仿宋_GB2312" w:hAnsi="仿宋_GB2312" w:eastAsia="仿宋_GB2312" w:cs="仿宋_GB2312"/>
          <w:color w:val="auto"/>
          <w:spacing w:val="0"/>
          <w:w w:val="100"/>
          <w:kern w:val="1"/>
          <w:sz w:val="32"/>
          <w:szCs w:val="32"/>
          <w:highlight w:val="none"/>
          <w:lang w:val="en-US" w:eastAsia="zh-CN"/>
        </w:rPr>
        <w:t>即零上访、零事故、零案件。</w:t>
      </w:r>
    </w:p>
    <w:p w14:paraId="69738E35">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12.“三保”</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P7</w:t>
      </w:r>
    </w:p>
    <w:p w14:paraId="48E29D61">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lang w:val="en-US" w:eastAsia="zh-CN"/>
        </w:rPr>
      </w:pPr>
      <w:r>
        <w:rPr>
          <w:rFonts w:hint="eastAsia" w:ascii="仿宋_GB2312" w:hAnsi="仿宋_GB2312" w:eastAsia="仿宋_GB2312" w:cs="仿宋_GB2312"/>
          <w:color w:val="auto"/>
          <w:spacing w:val="0"/>
          <w:w w:val="100"/>
          <w:kern w:val="1"/>
          <w:sz w:val="32"/>
          <w:szCs w:val="32"/>
          <w:highlight w:val="none"/>
          <w:lang w:val="en-US" w:eastAsia="zh-CN"/>
        </w:rPr>
        <w:t>即保基本民生、保工资、保运转。</w:t>
      </w:r>
    </w:p>
    <w:p w14:paraId="727C7172">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13.“两个确保”</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P7</w:t>
      </w:r>
    </w:p>
    <w:p w14:paraId="46E5862A">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仿宋_GB2312" w:hAnsi="仿宋_GB2312" w:eastAsia="仿宋_GB2312" w:cs="仿宋_GB2312"/>
          <w:color w:val="auto"/>
          <w:spacing w:val="0"/>
          <w:w w:val="100"/>
          <w:kern w:val="1"/>
          <w:sz w:val="32"/>
          <w:szCs w:val="32"/>
          <w:highlight w:val="none"/>
          <w:lang w:val="en-US" w:eastAsia="zh-CN"/>
        </w:rPr>
      </w:pPr>
      <w:r>
        <w:rPr>
          <w:rFonts w:hint="eastAsia" w:ascii="仿宋_GB2312" w:hAnsi="仿宋_GB2312" w:eastAsia="仿宋_GB2312" w:cs="仿宋_GB2312"/>
          <w:color w:val="auto"/>
          <w:spacing w:val="0"/>
          <w:w w:val="100"/>
          <w:kern w:val="1"/>
          <w:sz w:val="32"/>
          <w:szCs w:val="32"/>
          <w:highlight w:val="none"/>
          <w:lang w:val="en-US" w:eastAsia="zh-CN"/>
        </w:rPr>
        <w:t>即</w:t>
      </w:r>
      <w:r>
        <w:rPr>
          <w:rFonts w:hint="default" w:ascii="仿宋_GB2312" w:hAnsi="仿宋_GB2312" w:eastAsia="仿宋_GB2312" w:cs="仿宋_GB2312"/>
          <w:color w:val="auto"/>
          <w:spacing w:val="0"/>
          <w:w w:val="100"/>
          <w:kern w:val="1"/>
          <w:sz w:val="32"/>
          <w:szCs w:val="32"/>
          <w:highlight w:val="none"/>
          <w:lang w:val="en-US" w:eastAsia="zh-CN"/>
        </w:rPr>
        <w:t>确保高质量建设现代化河南，确保高水平实现现代化河南。</w:t>
      </w:r>
    </w:p>
    <w:p w14:paraId="4A34277C">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14.“十大战略”</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P7</w:t>
      </w:r>
    </w:p>
    <w:p w14:paraId="153FC5E2">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pacing w:val="0"/>
          <w:w w:val="100"/>
          <w:kern w:val="1"/>
          <w:sz w:val="32"/>
          <w:szCs w:val="32"/>
          <w:highlight w:val="none"/>
          <w:lang w:val="en-US" w:eastAsia="zh-CN"/>
        </w:rPr>
      </w:pPr>
      <w:r>
        <w:rPr>
          <w:rFonts w:hint="eastAsia" w:ascii="仿宋_GB2312" w:hAnsi="仿宋_GB2312" w:eastAsia="仿宋_GB2312" w:cs="仿宋_GB2312"/>
          <w:color w:val="auto"/>
          <w:spacing w:val="0"/>
          <w:w w:val="100"/>
          <w:kern w:val="1"/>
          <w:sz w:val="32"/>
          <w:szCs w:val="32"/>
          <w:highlight w:val="none"/>
          <w:lang w:val="en-US" w:eastAsia="zh-CN"/>
        </w:rPr>
        <w:t>即实施创新驱动、科教兴省、人才强省战略；实施优势再造战略；实施数字化转型战略；实施换道领跑战略；实施文旅文创融合战略；实施以人为核心的新型城镇化战略；实施乡村振兴战略；实施绿色低碳转型战略；实施制度型开放战略；实施全面深化改革战略。</w:t>
      </w:r>
    </w:p>
    <w:p w14:paraId="519D4E71">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15.“五位一体”</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P8</w:t>
      </w:r>
    </w:p>
    <w:p w14:paraId="4935607D">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pacing w:val="0"/>
          <w:w w:val="100"/>
          <w:kern w:val="1"/>
          <w:sz w:val="32"/>
          <w:szCs w:val="32"/>
          <w:highlight w:val="none"/>
          <w:lang w:val="en-US" w:eastAsia="zh-CN"/>
        </w:rPr>
      </w:pPr>
      <w:r>
        <w:rPr>
          <w:rFonts w:hint="eastAsia" w:ascii="仿宋_GB2312" w:hAnsi="仿宋_GB2312" w:eastAsia="仿宋_GB2312" w:cs="仿宋_GB2312"/>
          <w:color w:val="auto"/>
          <w:spacing w:val="0"/>
          <w:w w:val="100"/>
          <w:kern w:val="1"/>
          <w:sz w:val="32"/>
          <w:szCs w:val="32"/>
          <w:highlight w:val="none"/>
          <w:lang w:val="en-US" w:eastAsia="zh-CN"/>
        </w:rPr>
        <w:t>即经济建设、政治建设、文化建设、社会建设和生态文明建设五位一体，全面推进。</w:t>
      </w:r>
    </w:p>
    <w:p w14:paraId="6AEFF6A3">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16.“四个全面”</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P8</w:t>
      </w:r>
    </w:p>
    <w:p w14:paraId="414DDA53">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lang w:val="en-US" w:eastAsia="zh-CN"/>
        </w:rPr>
      </w:pPr>
      <w:r>
        <w:rPr>
          <w:rFonts w:hint="eastAsia" w:ascii="仿宋_GB2312" w:hAnsi="仿宋_GB2312" w:eastAsia="仿宋_GB2312" w:cs="仿宋_GB2312"/>
          <w:color w:val="auto"/>
          <w:spacing w:val="0"/>
          <w:w w:val="100"/>
          <w:kern w:val="1"/>
          <w:sz w:val="32"/>
          <w:szCs w:val="32"/>
          <w:highlight w:val="none"/>
          <w:lang w:val="en-US" w:eastAsia="zh-CN"/>
        </w:rPr>
        <w:t>即全面建设社会主义现代化国家、全面深化改革、全面依法治国、全面从严治党。</w:t>
      </w:r>
    </w:p>
    <w:p w14:paraId="1DCC4F5B">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17.“四上”企业</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P11</w:t>
      </w:r>
    </w:p>
    <w:p w14:paraId="717C5FF8">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仿宋_GB2312" w:hAnsi="仿宋_GB2312" w:eastAsia="仿宋_GB2312" w:cs="仿宋_GB2312"/>
          <w:color w:val="auto"/>
          <w:spacing w:val="0"/>
          <w:w w:val="100"/>
          <w:kern w:val="1"/>
          <w:sz w:val="32"/>
          <w:szCs w:val="32"/>
          <w:highlight w:val="none"/>
          <w:lang w:val="en-US" w:eastAsia="zh-CN"/>
        </w:rPr>
        <w:t>指规模以上工业企业、资质等级建筑业企业、限额以上批零住餐企业、国家重点服务业企业等这四类规模以上企业的统称。</w:t>
      </w:r>
    </w:p>
    <w:p w14:paraId="288871EF">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638" w:leftChars="304" w:firstLine="0" w:firstLineChars="0"/>
        <w:jc w:val="both"/>
        <w:textAlignment w:val="auto"/>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18.“三大改造”</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P12</w:t>
      </w:r>
      <w:r>
        <w:rPr>
          <w:rFonts w:hint="eastAsia" w:ascii="仿宋_GB2312" w:hAnsi="仿宋_GB2312" w:eastAsia="仿宋_GB2312" w:cs="仿宋_GB2312"/>
          <w:color w:val="auto"/>
          <w:spacing w:val="0"/>
          <w:w w:val="100"/>
          <w:kern w:val="1"/>
          <w:sz w:val="32"/>
          <w:szCs w:val="32"/>
          <w:highlight w:val="none"/>
          <w:lang w:val="en-US" w:eastAsia="zh-CN"/>
        </w:rPr>
        <w:t>即技术改造、智能化改造、绿色化改造。</w:t>
      </w:r>
    </w:p>
    <w:p w14:paraId="0D257FB1">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19.“三区三线”</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P12</w:t>
      </w:r>
    </w:p>
    <w:p w14:paraId="1275B069">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pacing w:val="0"/>
          <w:w w:val="100"/>
          <w:kern w:val="1"/>
          <w:sz w:val="32"/>
          <w:szCs w:val="32"/>
          <w:highlight w:val="none"/>
          <w:lang w:val="en-US" w:eastAsia="zh-CN"/>
        </w:rPr>
      </w:pPr>
      <w:r>
        <w:rPr>
          <w:rFonts w:hint="eastAsia" w:ascii="仿宋_GB2312" w:hAnsi="仿宋_GB2312" w:eastAsia="仿宋_GB2312" w:cs="仿宋_GB2312"/>
          <w:color w:val="auto"/>
          <w:spacing w:val="0"/>
          <w:w w:val="100"/>
          <w:kern w:val="1"/>
          <w:sz w:val="32"/>
          <w:szCs w:val="32"/>
          <w:highlight w:val="none"/>
          <w:lang w:val="en-US" w:eastAsia="zh-CN"/>
        </w:rPr>
        <w:t>“三区”是指城镇空间、农业空间、生态空间三种类型的国土空间。“三线”分别对应在城镇空间、农业空间、生态空间划定的城镇开发边界、永久基本农田、生态保护红线三条控制线。</w:t>
      </w:r>
    </w:p>
    <w:p w14:paraId="3A9613E0">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638" w:leftChars="304" w:firstLine="0" w:firstLineChars="0"/>
        <w:jc w:val="both"/>
        <w:textAlignment w:val="auto"/>
        <w:rPr>
          <w:rFonts w:hint="eastAsia"/>
          <w:lang w:val="en-US" w:eastAsia="zh-CN"/>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20.“四治”</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P13</w:t>
      </w:r>
      <w:r>
        <w:rPr>
          <w:rFonts w:hint="eastAsia" w:ascii="仿宋_GB2312" w:hAnsi="仿宋_GB2312" w:eastAsia="仿宋_GB2312" w:cs="仿宋_GB2312"/>
          <w:color w:val="auto"/>
          <w:spacing w:val="0"/>
          <w:w w:val="100"/>
          <w:kern w:val="1"/>
          <w:sz w:val="32"/>
          <w:szCs w:val="32"/>
          <w:highlight w:val="none"/>
          <w:lang w:val="en-US" w:eastAsia="zh-CN"/>
        </w:rPr>
        <w:t>即城市治脏、治乱、治污、治堵。</w:t>
      </w:r>
    </w:p>
    <w:p w14:paraId="2A9F2F6A">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21.“三类户”</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P16</w:t>
      </w:r>
    </w:p>
    <w:p w14:paraId="2E29CBEB">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仿宋_GB2312" w:hAnsi="仿宋_GB2312" w:eastAsia="仿宋_GB2312" w:cs="仿宋_GB2312"/>
          <w:color w:val="auto"/>
          <w:spacing w:val="0"/>
          <w:w w:val="100"/>
          <w:kern w:val="1"/>
          <w:sz w:val="32"/>
          <w:szCs w:val="32"/>
          <w:highlight w:val="none"/>
          <w:lang w:val="en-US" w:eastAsia="zh-CN"/>
        </w:rPr>
        <w:t>即</w:t>
      </w:r>
      <w:r>
        <w:rPr>
          <w:rFonts w:hint="default" w:ascii="仿宋_GB2312" w:hAnsi="仿宋_GB2312" w:eastAsia="仿宋_GB2312" w:cs="仿宋_GB2312"/>
          <w:color w:val="auto"/>
          <w:spacing w:val="0"/>
          <w:w w:val="100"/>
          <w:kern w:val="1"/>
          <w:sz w:val="32"/>
          <w:szCs w:val="32"/>
          <w:highlight w:val="none"/>
          <w:lang w:val="en-US" w:eastAsia="zh-CN"/>
        </w:rPr>
        <w:t>脱贫不稳定户、边缘易致贫户以及因病因灾因意外事故等刚性支出较大或收入大幅度缩减导致基本生活出现严重困难户。</w:t>
      </w:r>
    </w:p>
    <w:p w14:paraId="373CE15A">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22.“标准地+承诺制”</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P17</w:t>
      </w:r>
    </w:p>
    <w:p w14:paraId="039914A0">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仿宋_GB2312" w:hAnsi="仿宋_GB2312" w:eastAsia="仿宋_GB2312" w:cs="仿宋_GB2312"/>
          <w:color w:val="auto"/>
          <w:spacing w:val="0"/>
          <w:w w:val="100"/>
          <w:kern w:val="1"/>
          <w:sz w:val="32"/>
          <w:szCs w:val="32"/>
          <w:highlight w:val="none"/>
          <w:lang w:val="en" w:eastAsia="zh-CN"/>
        </w:rPr>
        <w:t>指</w:t>
      </w:r>
      <w:r>
        <w:rPr>
          <w:rFonts w:hint="eastAsia" w:ascii="仿宋_GB2312" w:hAnsi="仿宋_GB2312" w:eastAsia="仿宋_GB2312" w:cs="仿宋_GB2312"/>
          <w:color w:val="auto"/>
          <w:spacing w:val="0"/>
          <w:w w:val="100"/>
          <w:kern w:val="1"/>
          <w:sz w:val="32"/>
          <w:szCs w:val="32"/>
          <w:highlight w:val="none"/>
          <w:lang w:val="en-US" w:eastAsia="zh-CN"/>
        </w:rPr>
        <w:t>将一块“标准地”项目全流程分为地块定标、按标出让、承诺许可、按标施建、对标验收五个阶段,采用一块“标准地”，一次性告知、一次性承诺、一次性办结的方式。</w:t>
      </w:r>
    </w:p>
    <w:p w14:paraId="45B2FB50">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23.“三管三必须”</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P17</w:t>
      </w:r>
    </w:p>
    <w:p w14:paraId="70F74639">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color w:val="auto"/>
          <w:spacing w:val="0"/>
          <w:w w:val="100"/>
          <w:kern w:val="1"/>
          <w:sz w:val="32"/>
          <w:szCs w:val="32"/>
          <w:highlight w:val="none"/>
          <w:lang w:val="en-US" w:eastAsia="zh-CN"/>
        </w:rPr>
      </w:pPr>
      <w:r>
        <w:rPr>
          <w:rFonts w:hint="eastAsia" w:ascii="仿宋_GB2312" w:hAnsi="仿宋_GB2312" w:eastAsia="仿宋_GB2312" w:cs="仿宋_GB2312"/>
          <w:color w:val="auto"/>
          <w:spacing w:val="0"/>
          <w:w w:val="100"/>
          <w:kern w:val="1"/>
          <w:sz w:val="32"/>
          <w:szCs w:val="32"/>
          <w:highlight w:val="none"/>
          <w:lang w:val="en-US" w:eastAsia="zh-CN"/>
        </w:rPr>
        <w:t>指安全生产工作实行管行业必须管安全、管业务必须管安全、管生产经营必须管安全。</w:t>
      </w:r>
    </w:p>
    <w:p w14:paraId="3424D9EF">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24.“两高一危”</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P18</w:t>
      </w:r>
    </w:p>
    <w:p w14:paraId="0266363E">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仿宋_GB2312" w:hAnsi="仿宋_GB2312" w:eastAsia="仿宋_GB2312" w:cs="仿宋_GB2312"/>
          <w:color w:val="auto"/>
          <w:spacing w:val="0"/>
          <w:w w:val="100"/>
          <w:kern w:val="1"/>
          <w:sz w:val="32"/>
          <w:szCs w:val="32"/>
          <w:highlight w:val="none"/>
          <w:lang w:val="en-US" w:eastAsia="zh-CN"/>
        </w:rPr>
        <w:t>即高污染、高能耗，危险品。</w:t>
      </w:r>
    </w:p>
    <w:p w14:paraId="3E84AAF6">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25.“两个确立”</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P20</w:t>
      </w:r>
    </w:p>
    <w:p w14:paraId="171CC19D">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仿宋_GB2312" w:hAnsi="仿宋_GB2312" w:eastAsia="仿宋_GB2312" w:cs="仿宋_GB2312"/>
          <w:color w:val="auto"/>
          <w:spacing w:val="0"/>
          <w:w w:val="100"/>
          <w:kern w:val="1"/>
          <w:sz w:val="32"/>
          <w:szCs w:val="32"/>
          <w:highlight w:val="none"/>
          <w:lang w:val="en" w:eastAsia="zh-CN"/>
        </w:rPr>
        <w:t>即</w:t>
      </w:r>
      <w:r>
        <w:rPr>
          <w:rFonts w:hint="eastAsia" w:ascii="仿宋_GB2312" w:hAnsi="仿宋_GB2312" w:eastAsia="仿宋_GB2312" w:cs="仿宋_GB2312"/>
          <w:color w:val="auto"/>
          <w:spacing w:val="0"/>
          <w:w w:val="100"/>
          <w:kern w:val="1"/>
          <w:sz w:val="32"/>
          <w:szCs w:val="32"/>
          <w:highlight w:val="none"/>
          <w:lang w:val="en-US" w:eastAsia="zh-CN"/>
        </w:rPr>
        <w:t>确立习近平同志党中央的核心、全党的核心地位，确立习近平新时代中国特色社会主义思想的指导地位。</w:t>
      </w:r>
    </w:p>
    <w:p w14:paraId="6D8B6D74">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26.“四个意识”</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P20</w:t>
      </w:r>
    </w:p>
    <w:p w14:paraId="10189383">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仿宋_GB2312" w:hAnsi="仿宋_GB2312" w:eastAsia="仿宋_GB2312" w:cs="仿宋_GB2312"/>
          <w:color w:val="auto"/>
          <w:spacing w:val="0"/>
          <w:w w:val="100"/>
          <w:kern w:val="1"/>
          <w:sz w:val="32"/>
          <w:szCs w:val="32"/>
          <w:highlight w:val="none"/>
          <w:lang w:val="en" w:eastAsia="zh-CN"/>
        </w:rPr>
        <w:t>即</w:t>
      </w:r>
      <w:r>
        <w:rPr>
          <w:rFonts w:hint="eastAsia" w:ascii="仿宋_GB2312" w:hAnsi="仿宋_GB2312" w:eastAsia="仿宋_GB2312" w:cs="仿宋_GB2312"/>
          <w:color w:val="auto"/>
          <w:spacing w:val="0"/>
          <w:w w:val="100"/>
          <w:kern w:val="1"/>
          <w:sz w:val="32"/>
          <w:szCs w:val="32"/>
          <w:highlight w:val="none"/>
          <w:lang w:val="en-US" w:eastAsia="zh-CN"/>
        </w:rPr>
        <w:t>政治意识、大局意识、核心意识、看齐意识。</w:t>
      </w:r>
    </w:p>
    <w:p w14:paraId="6D1741CE">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27.“四个自信”</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P20</w:t>
      </w:r>
    </w:p>
    <w:p w14:paraId="20E97F5D">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仿宋_GB2312" w:hAnsi="仿宋_GB2312" w:eastAsia="仿宋_GB2312" w:cs="仿宋_GB2312"/>
          <w:color w:val="auto"/>
          <w:spacing w:val="0"/>
          <w:w w:val="100"/>
          <w:kern w:val="1"/>
          <w:sz w:val="32"/>
          <w:szCs w:val="32"/>
          <w:highlight w:val="none"/>
          <w:lang w:val="en-US" w:eastAsia="zh-CN"/>
        </w:rPr>
        <w:t>即中国特色社会主义道路自信、理论自信、制度自信、文化自信。</w:t>
      </w:r>
    </w:p>
    <w:p w14:paraId="3F940C70">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28.“两个维护”</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P20</w:t>
      </w:r>
    </w:p>
    <w:p w14:paraId="14DF53EE">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仿宋_GB2312" w:hAnsi="仿宋_GB2312" w:eastAsia="仿宋_GB2312" w:cs="仿宋_GB2312"/>
          <w:color w:val="auto"/>
          <w:spacing w:val="0"/>
          <w:w w:val="100"/>
          <w:kern w:val="1"/>
          <w:sz w:val="32"/>
          <w:szCs w:val="32"/>
          <w:highlight w:val="none"/>
          <w:lang w:val="en-US" w:eastAsia="zh-CN"/>
        </w:rPr>
        <w:t>指坚决维护习近平总书记党中央的核心、全党的核心地位，坚决维护党中央权威和集中统一领导。</w:t>
      </w:r>
    </w:p>
    <w:p w14:paraId="3B7EB983">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pP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29.“13710”工作制度</w:t>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ab/>
      </w:r>
      <w:r>
        <w:rPr>
          <w:rFonts w:hint="eastAsia" w:ascii="黑体" w:hAnsi="黑体" w:eastAsia="黑体" w:cs="黑体"/>
          <w:color w:val="000000" w:themeColor="text1"/>
          <w:spacing w:val="0"/>
          <w:w w:val="100"/>
          <w:kern w:val="2"/>
          <w:sz w:val="32"/>
          <w:szCs w:val="32"/>
          <w:highlight w:val="none"/>
          <w:u w:val="none" w:color="auto"/>
          <w:lang w:val="en-US" w:eastAsia="zh-CN" w:bidi="ar-SA"/>
          <w14:textFill>
            <w14:solidFill>
              <w14:schemeClr w14:val="tx1"/>
            </w14:solidFill>
          </w14:textFill>
        </w:rPr>
        <w:t>P20</w:t>
      </w:r>
    </w:p>
    <w:p w14:paraId="2C6FCA69">
      <w:pPr>
        <w:keepNext w:val="0"/>
        <w:keepLines w:val="0"/>
        <w:pageBreakBefore w:val="0"/>
        <w:widowControl w:val="0"/>
        <w:suppressLineNumbers w:val="0"/>
        <w:shd w:val="clear"/>
        <w:tabs>
          <w:tab w:val="left" w:leader="dot" w:pos="8190"/>
        </w:tabs>
        <w:kinsoku/>
        <w:wordWrap/>
        <w:overflowPunct/>
        <w:topLinePunct w:val="0"/>
        <w:autoSpaceDE/>
        <w:autoSpaceDN/>
        <w:bidi w:val="0"/>
        <w:adjustRightInd/>
        <w:snapToGrid/>
        <w:spacing w:line="600" w:lineRule="exact"/>
        <w:ind w:left="0" w:leftChars="0" w:firstLine="640" w:firstLineChars="200"/>
        <w:jc w:val="both"/>
        <w:textAlignment w:val="auto"/>
        <w:rPr>
          <w:rFonts w:hint="eastAsia"/>
          <w:lang w:val="en-US" w:eastAsia="zh-CN"/>
        </w:rPr>
      </w:pPr>
      <w:r>
        <w:rPr>
          <w:rFonts w:hint="eastAsia" w:ascii="仿宋_GB2312" w:hAnsi="仿宋_GB2312" w:eastAsia="仿宋_GB2312" w:cs="仿宋_GB2312"/>
          <w:color w:val="auto"/>
          <w:spacing w:val="0"/>
          <w:w w:val="100"/>
          <w:kern w:val="1"/>
          <w:sz w:val="32"/>
          <w:szCs w:val="32"/>
          <w:highlight w:val="none"/>
          <w:lang w:val="en-US" w:eastAsia="zh-CN"/>
        </w:rPr>
        <w:t>“1”即1天内要研究部署。“3”即3天内反馈初步落实情况；“7”即一般性工作原则上7天内落实解决；第二个“1”即重大问题包括一些复杂问题要在1个月内落实解决，确实解决不了的，要拿出解决的时间节点和方案，经批准后按照解决方案中确定的时限要求推进工作，并按月反馈进展情况；“0”即所有事项都要跟踪到底、销号清零，做到事事有着落，件件有结果。</w:t>
      </w:r>
    </w:p>
    <w:sectPr>
      <w:footerReference r:id="rId3" w:type="default"/>
      <w:footerReference r:id="rId4" w:type="even"/>
      <w:pgSz w:w="11906" w:h="16838"/>
      <w:pgMar w:top="1814" w:right="1531" w:bottom="181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楷体_GBK">
    <w:panose1 w:val="02000000000000000000"/>
    <w:charset w:val="86"/>
    <w:family w:val="auto"/>
    <w:pitch w:val="default"/>
    <w:sig w:usb0="800002BF" w:usb1="38CF7CFA" w:usb2="00000016"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方正黑体_GBK">
    <w:altName w:val="微软雅黑"/>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5B3A7">
    <w:pPr>
      <w:pStyle w:val="7"/>
    </w:pPr>
    <w:r>
      <w:rPr>
        <w:sz w:val="18"/>
      </w:rPr>
      <mc:AlternateContent>
        <mc:Choice Requires="wps">
          <w:drawing>
            <wp:anchor distT="0" distB="0" distL="114300" distR="114300" simplePos="0" relativeHeight="251659264" behindDoc="0" locked="0" layoutInCell="1" allowOverlap="1">
              <wp:simplePos x="0" y="0"/>
              <wp:positionH relativeFrom="margin">
                <wp:posOffset>2760345</wp:posOffset>
              </wp:positionH>
              <wp:positionV relativeFrom="paragraph">
                <wp:posOffset>-133350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2F8630">
                          <w:pPr>
                            <w:pStyle w:val="7"/>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7.35pt;margin-top:-10.5pt;height:144pt;width:144pt;mso-position-horizontal-relative:margin;mso-wrap-style:none;z-index:251659264;mso-width-relative:page;mso-height-relative:page;" filled="f" stroked="f" coordsize="21600,21600" o:gfxdata="UEsDBAoAAAAAAIdO4kAAAAAAAAAAAAAAAAAEAAAAZHJzL1BLAwQUAAAACACHTuJAyLTUitgAAAAL&#10;AQAADwAAAGRycy9kb3ducmV2LnhtbE2PTU+DQBCG7yb+h82YeGsXtqQYZGliIx5NLD143MIItPtB&#10;drcU/73jSY8z8+Sd5y13i9FsRh9GZyWk6wQY2tZ1o+0lHJt69QQsRGU7pZ1FCd8YYFfd35Wq6NzN&#10;fuB8iD2jEBsKJWGIcSo4D+2ARoW1m9DS7ct5oyKNvuedVzcKN5qLJNlyo0ZLHwY14X7A9nK4Ggn7&#10;umn8jMHrT3yrN+f3lwxfFykfH9LkGVjEJf7B8KtP6lCR08ldbReYlpBtspxQCSuRUikiciFoc5Ig&#10;tnkCvCr5/w7VD1BLAwQUAAAACACHTuJASm0ZdjMCAABjBAAADgAAAGRycy9lMm9Eb2MueG1srVTN&#10;jtMwEL4j8Q6W7zRpF1ZV1XRVtipCqtiVFsTZdZzGkv9ku03KA8AbcOLCnefqc/A5abpo4bAHLs7Y&#10;M/7G3zczmd+0WpGD8EFaU9DxKKdEGG5LaXYF/fRx/WpKSYjMlExZIwp6FIHeLF6+mDduJia2tqoU&#10;ngDEhFnjClrH6GZZFngtNAsj64SBs7Jes4it32WlZw3QtcomeX6dNdaXzlsuQsDpqnfSM6J/DqCt&#10;KsnFyvK9Fib2qF4oFkEp1NIFuuheW1WCx7uqCiISVVAwjd2KJLC3ac0WczbbeeZqyc9PYM95whNO&#10;mkmDpBeoFYuM7L38C0pL7m2wVRxxq7OeSKcIWIzzJ9o81MyJjgukDu4ievh/sPzD4d4TWRb06jUl&#10;hmlU/PT92+nHr9PPrwRnEKhxYYa4B4fI2L61LdpmOA84TLzbyuv0BSMCP+Q9XuQVbSQ8XZpOptMc&#10;Lg7fsAF+9njd+RDfCatJMgrqUb9OVnbYhNiHDiEpm7FrqVRXQ2VIU9Drqzd5d+HiAbgyyJFI9I9N&#10;Vmy37ZnZ1pZHEPO2743g+Foi+YaFeM88mgEPxrjEOyyVskhizxYltfVf/nWe4lEjeClp0FwFNZgl&#10;StR7g9oBMA6GH4ztYJi9vrXo1jHG0PHOxAUf1WBW3urPmKFlygEXMxyZChoH8zb2DY4Z5GK57IL2&#10;zstd3V9A5zkWN+bB8ZQmCRncch8hZqdxEqhX5awbeq+r0nlOUnP/ue+iHv8Ni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ItNSK2AAAAAsBAAAPAAAAAAAAAAEAIAAAACIAAABkcnMvZG93bnJldi54&#10;bWxQSwECFAAUAAAACACHTuJASm0ZdjMCAABjBAAADgAAAAAAAAABACAAAAAnAQAAZHJzL2Uyb0Rv&#10;Yy54bWxQSwUGAAAAAAYABgBZAQAAzAUAAAAA&#10;">
              <v:fill on="f" focussize="0,0"/>
              <v:stroke on="f" weight="0.5pt"/>
              <v:imagedata o:title=""/>
              <o:lock v:ext="edit" aspectratio="f"/>
              <v:textbox inset="0mm,0mm,0mm,0mm" style="mso-fit-shape-to-text:t;">
                <w:txbxContent>
                  <w:p w14:paraId="702F8630">
                    <w:pPr>
                      <w:pStyle w:val="7"/>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258DA">
    <w:pPr>
      <w:pStyle w:val="7"/>
    </w:pPr>
    <w:r>
      <w:rPr>
        <w:sz w:val="18"/>
      </w:rPr>
      <mc:AlternateContent>
        <mc:Choice Requires="wps">
          <w:drawing>
            <wp:anchor distT="0" distB="0" distL="114300" distR="114300" simplePos="0" relativeHeight="251660288" behindDoc="0" locked="0" layoutInCell="1" allowOverlap="1">
              <wp:simplePos x="0" y="0"/>
              <wp:positionH relativeFrom="margin">
                <wp:posOffset>2760345</wp:posOffset>
              </wp:positionH>
              <wp:positionV relativeFrom="paragraph">
                <wp:posOffset>-133350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D4D7EB">
                          <w:pPr>
                            <w:pStyle w:val="7"/>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2</w:t>
                          </w:r>
                          <w:r>
                            <w:rPr>
                              <w:rFonts w:hint="eastAsia" w:ascii="仿宋_GB2312" w:hAnsi="仿宋_GB2312" w:eastAsia="仿宋_GB2312" w:cs="仿宋_GB2312"/>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7.35pt;margin-top:-10.5pt;height:144pt;width:144pt;mso-position-horizontal-relative:margin;mso-wrap-style:none;z-index:251660288;mso-width-relative:page;mso-height-relative:page;" filled="f" stroked="f" coordsize="21600,21600" o:gfxdata="UEsDBAoAAAAAAIdO4kAAAAAAAAAAAAAAAAAEAAAAZHJzL1BLAwQUAAAACACHTuJAyLTUitgAAAAL&#10;AQAADwAAAGRycy9kb3ducmV2LnhtbE2PTU+DQBCG7yb+h82YeGsXtqQYZGliIx5NLD143MIItPtB&#10;drcU/73jSY8z8+Sd5y13i9FsRh9GZyWk6wQY2tZ1o+0lHJt69QQsRGU7pZ1FCd8YYFfd35Wq6NzN&#10;fuB8iD2jEBsKJWGIcSo4D+2ARoW1m9DS7ct5oyKNvuedVzcKN5qLJNlyo0ZLHwY14X7A9nK4Ggn7&#10;umn8jMHrT3yrN+f3lwxfFykfH9LkGVjEJf7B8KtP6lCR08ldbReYlpBtspxQCSuRUikiciFoc5Ig&#10;tnkCvCr5/w7VD1BLAwQUAAAACACHTuJACMWOmTMCAABjBAAADgAAAGRycy9lMm9Eb2MueG1srVRL&#10;jhMxEN0jcQfLe9JJRjOKonRGYaIgpIgZaUCsHbc7bck/2U66wwHgBqzYsOdcOQfP/cmggcUs2LjL&#10;rvIrv1dVvbhttCJH4YO0JqeT0ZgSYbgtpNnn9NPHzZsZJSEyUzBljcjpSQR6u3z9alG7uZjayqpC&#10;eAIQE+a1y2kVo5tnWeCV0CyMrBMGztJ6zSK2fp8VntVA1yqbjsc3WW194bzlIgScrjsn7RH9SwBt&#10;WUou1pYftDCxQ/VCsQhKoZIu0GX72rIUPN6XZRCRqJyCaWxXJIG9S2u2XLD53jNXSd4/gb3kCc84&#10;aSYNkl6g1iwycvDyLygtubfBlnHErc46Iq0iYDEZP9PmsWJOtFwgdXAX0cP/g+Ufjg+eyCKnV9eU&#10;GKZR8fP3b+cfv84/vxKcQaDahTniHh0iY/PWNmib4TzgMPFuSq/TF4wI/JD3dJFXNJHwdGk2nc3G&#10;cHH4hg3ws6frzof4TlhNkpFTj/q1srLjNsQudAhJ2YzdSKXaGipD6pzeXF2P2wsXD8CVQY5Eonts&#10;smKza3pmO1ucQMzbrjeC4xuJ5FsW4gPzaAY8GOMS77GUyiKJ7S1KKuu//Os8xaNG8FJSo7lyajBL&#10;lKj3BrUDYBwMPxi7wTAHfWfRrROMoeOtiQs+qsEsvdWfMUOrlAMuZjgy5TQO5l3sGhwzyMVq1QYd&#10;nJf7qruAznMsbs2j4ylNEjK41SFCzFbjJFCnSq8beq+tUj8nqbn/3LdRT/+G5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ItNSK2AAAAAsBAAAPAAAAAAAAAAEAIAAAACIAAABkcnMvZG93bnJldi54&#10;bWxQSwECFAAUAAAACACHTuJACMWOmTMCAABjBAAADgAAAAAAAAABACAAAAAnAQAAZHJzL2Uyb0Rv&#10;Yy54bWxQSwUGAAAAAAYABgBZAQAAzAUAAAAA&#10;">
              <v:fill on="f" focussize="0,0"/>
              <v:stroke on="f" weight="0.5pt"/>
              <v:imagedata o:title=""/>
              <o:lock v:ext="edit" aspectratio="f"/>
              <v:textbox inset="0mm,0mm,0mm,0mm" style="mso-fit-shape-to-text:t;">
                <w:txbxContent>
                  <w:p w14:paraId="4DD4D7EB">
                    <w:pPr>
                      <w:pStyle w:val="7"/>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2</w:t>
                    </w:r>
                    <w:r>
                      <w:rPr>
                        <w:rFonts w:hint="eastAsia" w:ascii="仿宋_GB2312" w:hAnsi="仿宋_GB2312" w:eastAsia="仿宋_GB2312" w:cs="仿宋_GB2312"/>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MwMmQ4OGVkOWM3ODEzZjIyNGZkOTQ3OTIwNDFmZTkifQ=="/>
  </w:docVars>
  <w:rsids>
    <w:rsidRoot w:val="BEDC32A8"/>
    <w:rsid w:val="04294066"/>
    <w:rsid w:val="05F67F28"/>
    <w:rsid w:val="06111BE1"/>
    <w:rsid w:val="07DB4421"/>
    <w:rsid w:val="07E74D12"/>
    <w:rsid w:val="090D7629"/>
    <w:rsid w:val="0A876E4C"/>
    <w:rsid w:val="0B13248D"/>
    <w:rsid w:val="0B5D1214"/>
    <w:rsid w:val="0C5F4790"/>
    <w:rsid w:val="0CDD2E5B"/>
    <w:rsid w:val="0ECE5049"/>
    <w:rsid w:val="0F3550C8"/>
    <w:rsid w:val="0F5F2145"/>
    <w:rsid w:val="0F8253A4"/>
    <w:rsid w:val="0F8C5323"/>
    <w:rsid w:val="10D17193"/>
    <w:rsid w:val="111B6540"/>
    <w:rsid w:val="1122167C"/>
    <w:rsid w:val="11743A60"/>
    <w:rsid w:val="11FF3D33"/>
    <w:rsid w:val="120E39AF"/>
    <w:rsid w:val="122B27B2"/>
    <w:rsid w:val="12E11965"/>
    <w:rsid w:val="14076907"/>
    <w:rsid w:val="14DF3812"/>
    <w:rsid w:val="14E37374"/>
    <w:rsid w:val="152A1561"/>
    <w:rsid w:val="165752E8"/>
    <w:rsid w:val="17393CDC"/>
    <w:rsid w:val="178B6E3F"/>
    <w:rsid w:val="1B5E4176"/>
    <w:rsid w:val="1B7033DB"/>
    <w:rsid w:val="1BED2887"/>
    <w:rsid w:val="1D05291B"/>
    <w:rsid w:val="1DF1E5A3"/>
    <w:rsid w:val="1E157715"/>
    <w:rsid w:val="1E9C7F43"/>
    <w:rsid w:val="1EFB7CA6"/>
    <w:rsid w:val="1F5E6EBF"/>
    <w:rsid w:val="1FBD0DDA"/>
    <w:rsid w:val="1FBD26D5"/>
    <w:rsid w:val="1FDF7560"/>
    <w:rsid w:val="20E9731B"/>
    <w:rsid w:val="21D06ED2"/>
    <w:rsid w:val="21EB4607"/>
    <w:rsid w:val="22A92DA2"/>
    <w:rsid w:val="242B6642"/>
    <w:rsid w:val="24ED56A6"/>
    <w:rsid w:val="269C754B"/>
    <w:rsid w:val="26A9764C"/>
    <w:rsid w:val="26B26BA7"/>
    <w:rsid w:val="26C51673"/>
    <w:rsid w:val="272B080D"/>
    <w:rsid w:val="274E9165"/>
    <w:rsid w:val="27A87F7C"/>
    <w:rsid w:val="280C7422"/>
    <w:rsid w:val="28136355"/>
    <w:rsid w:val="2A16744D"/>
    <w:rsid w:val="2A2B593B"/>
    <w:rsid w:val="2A790107"/>
    <w:rsid w:val="2BE73211"/>
    <w:rsid w:val="2D346F82"/>
    <w:rsid w:val="2D355E3C"/>
    <w:rsid w:val="2D9152E7"/>
    <w:rsid w:val="2D9DF9BA"/>
    <w:rsid w:val="2F2BBB07"/>
    <w:rsid w:val="2F9E7071"/>
    <w:rsid w:val="2FA21EAE"/>
    <w:rsid w:val="2FFF4E7D"/>
    <w:rsid w:val="310249C0"/>
    <w:rsid w:val="3136638A"/>
    <w:rsid w:val="31B07113"/>
    <w:rsid w:val="31FB6AA3"/>
    <w:rsid w:val="324D3CAD"/>
    <w:rsid w:val="32A45F3D"/>
    <w:rsid w:val="34CD0C02"/>
    <w:rsid w:val="35045F3A"/>
    <w:rsid w:val="37ABD20B"/>
    <w:rsid w:val="37C4498C"/>
    <w:rsid w:val="37DF1F1A"/>
    <w:rsid w:val="37F7E89E"/>
    <w:rsid w:val="38E347D2"/>
    <w:rsid w:val="38E441D3"/>
    <w:rsid w:val="39C649EB"/>
    <w:rsid w:val="3A3233E1"/>
    <w:rsid w:val="3A6F74BC"/>
    <w:rsid w:val="3B595665"/>
    <w:rsid w:val="3B742225"/>
    <w:rsid w:val="3BD5BC5C"/>
    <w:rsid w:val="3BDF867D"/>
    <w:rsid w:val="3BDFD4F5"/>
    <w:rsid w:val="3CB7061B"/>
    <w:rsid w:val="3CF531BE"/>
    <w:rsid w:val="3CFDD031"/>
    <w:rsid w:val="3D68247D"/>
    <w:rsid w:val="3D730AEE"/>
    <w:rsid w:val="3D9F4C37"/>
    <w:rsid w:val="3DB86D41"/>
    <w:rsid w:val="3DF7AF9E"/>
    <w:rsid w:val="3E869872"/>
    <w:rsid w:val="3EBDEE24"/>
    <w:rsid w:val="3F1F27F1"/>
    <w:rsid w:val="3F3FF78C"/>
    <w:rsid w:val="3FEDF259"/>
    <w:rsid w:val="3FEEA30B"/>
    <w:rsid w:val="3FEFFF10"/>
    <w:rsid w:val="40503261"/>
    <w:rsid w:val="412C1701"/>
    <w:rsid w:val="41D67902"/>
    <w:rsid w:val="41FB544E"/>
    <w:rsid w:val="42666D6B"/>
    <w:rsid w:val="42BF7DA5"/>
    <w:rsid w:val="431F02EF"/>
    <w:rsid w:val="43C22E21"/>
    <w:rsid w:val="43DE1E05"/>
    <w:rsid w:val="43DF0685"/>
    <w:rsid w:val="44DC3601"/>
    <w:rsid w:val="44E03AA2"/>
    <w:rsid w:val="45174C20"/>
    <w:rsid w:val="455C26A8"/>
    <w:rsid w:val="45CC4A5F"/>
    <w:rsid w:val="46535E90"/>
    <w:rsid w:val="46C73F21"/>
    <w:rsid w:val="4703102D"/>
    <w:rsid w:val="47EF7803"/>
    <w:rsid w:val="4A0F262F"/>
    <w:rsid w:val="4A0F5F3A"/>
    <w:rsid w:val="4A58022B"/>
    <w:rsid w:val="4A99726B"/>
    <w:rsid w:val="4AEA6060"/>
    <w:rsid w:val="4BDD2C27"/>
    <w:rsid w:val="4BFA2F0B"/>
    <w:rsid w:val="4D1245A4"/>
    <w:rsid w:val="4D5D0D6B"/>
    <w:rsid w:val="4DA44BEC"/>
    <w:rsid w:val="4EFF3EDB"/>
    <w:rsid w:val="4F2B331F"/>
    <w:rsid w:val="4F5AF588"/>
    <w:rsid w:val="4FCF2525"/>
    <w:rsid w:val="4FE57117"/>
    <w:rsid w:val="50055E16"/>
    <w:rsid w:val="507564D3"/>
    <w:rsid w:val="50CE7F89"/>
    <w:rsid w:val="51B573C7"/>
    <w:rsid w:val="52B633F7"/>
    <w:rsid w:val="52BA27BB"/>
    <w:rsid w:val="53F4F5BF"/>
    <w:rsid w:val="53FC6409"/>
    <w:rsid w:val="5486329D"/>
    <w:rsid w:val="550C5D25"/>
    <w:rsid w:val="56EF2A90"/>
    <w:rsid w:val="56F7740C"/>
    <w:rsid w:val="56FF19FD"/>
    <w:rsid w:val="57403CDF"/>
    <w:rsid w:val="57AFF641"/>
    <w:rsid w:val="57BF7239"/>
    <w:rsid w:val="57F31FC3"/>
    <w:rsid w:val="57FDA013"/>
    <w:rsid w:val="588B0E82"/>
    <w:rsid w:val="589F7BFB"/>
    <w:rsid w:val="59FF72CD"/>
    <w:rsid w:val="5A05790C"/>
    <w:rsid w:val="5AFC1BC3"/>
    <w:rsid w:val="5B294982"/>
    <w:rsid w:val="5B331AD4"/>
    <w:rsid w:val="5B61236E"/>
    <w:rsid w:val="5B7BB7F5"/>
    <w:rsid w:val="5B9EDFDE"/>
    <w:rsid w:val="5BA06E2B"/>
    <w:rsid w:val="5BBB7CD0"/>
    <w:rsid w:val="5C517A10"/>
    <w:rsid w:val="5C9D3259"/>
    <w:rsid w:val="5CD03800"/>
    <w:rsid w:val="5D4F626D"/>
    <w:rsid w:val="5E21648D"/>
    <w:rsid w:val="5E5D11EF"/>
    <w:rsid w:val="5E736640"/>
    <w:rsid w:val="5EB6C50F"/>
    <w:rsid w:val="5EDA30C1"/>
    <w:rsid w:val="5F1C0A86"/>
    <w:rsid w:val="5F535456"/>
    <w:rsid w:val="5F579487"/>
    <w:rsid w:val="5F6237B3"/>
    <w:rsid w:val="5F7D0192"/>
    <w:rsid w:val="5F8D54E0"/>
    <w:rsid w:val="5FD7C378"/>
    <w:rsid w:val="5FDF45C6"/>
    <w:rsid w:val="5FF3FCA5"/>
    <w:rsid w:val="607B5C80"/>
    <w:rsid w:val="61BC02FE"/>
    <w:rsid w:val="62326C6C"/>
    <w:rsid w:val="62560D7C"/>
    <w:rsid w:val="628E4D64"/>
    <w:rsid w:val="62D00E2B"/>
    <w:rsid w:val="63BF3F68"/>
    <w:rsid w:val="641F29CD"/>
    <w:rsid w:val="64A9589E"/>
    <w:rsid w:val="65F7140A"/>
    <w:rsid w:val="66DE4B5A"/>
    <w:rsid w:val="67CBC05A"/>
    <w:rsid w:val="67ED8E66"/>
    <w:rsid w:val="67F6A531"/>
    <w:rsid w:val="67F6EEBC"/>
    <w:rsid w:val="681811A0"/>
    <w:rsid w:val="682F0E96"/>
    <w:rsid w:val="68491856"/>
    <w:rsid w:val="68F2017B"/>
    <w:rsid w:val="69E93615"/>
    <w:rsid w:val="6A290664"/>
    <w:rsid w:val="6A7F57A2"/>
    <w:rsid w:val="6AEF94D7"/>
    <w:rsid w:val="6B03BACE"/>
    <w:rsid w:val="6B4FC2DF"/>
    <w:rsid w:val="6B7BFCD8"/>
    <w:rsid w:val="6C3126AD"/>
    <w:rsid w:val="6CA40C71"/>
    <w:rsid w:val="6CAA1219"/>
    <w:rsid w:val="6CDB1F80"/>
    <w:rsid w:val="6D665378"/>
    <w:rsid w:val="6DB16565"/>
    <w:rsid w:val="6DB7DBF2"/>
    <w:rsid w:val="6DBB4A0D"/>
    <w:rsid w:val="6DDE8436"/>
    <w:rsid w:val="6EFC61DE"/>
    <w:rsid w:val="6EFEC6B6"/>
    <w:rsid w:val="6F37F819"/>
    <w:rsid w:val="6F3E19B6"/>
    <w:rsid w:val="6F6F493E"/>
    <w:rsid w:val="6F772B43"/>
    <w:rsid w:val="6F911520"/>
    <w:rsid w:val="6FA75155"/>
    <w:rsid w:val="6FBE68EF"/>
    <w:rsid w:val="6FE42FE4"/>
    <w:rsid w:val="6FED5BAB"/>
    <w:rsid w:val="6FED6C7F"/>
    <w:rsid w:val="6FF48ED9"/>
    <w:rsid w:val="6FFEBCD1"/>
    <w:rsid w:val="6FFF9CB2"/>
    <w:rsid w:val="71F7F46D"/>
    <w:rsid w:val="727E32B0"/>
    <w:rsid w:val="72E32243"/>
    <w:rsid w:val="730F5119"/>
    <w:rsid w:val="73772818"/>
    <w:rsid w:val="739F77F0"/>
    <w:rsid w:val="73AF6D66"/>
    <w:rsid w:val="73B7892E"/>
    <w:rsid w:val="73BD2884"/>
    <w:rsid w:val="73DB923C"/>
    <w:rsid w:val="73DCDEC5"/>
    <w:rsid w:val="73EBB6D7"/>
    <w:rsid w:val="73F7050B"/>
    <w:rsid w:val="73F9A1C6"/>
    <w:rsid w:val="7419513C"/>
    <w:rsid w:val="74D774D1"/>
    <w:rsid w:val="753438B7"/>
    <w:rsid w:val="75735A9C"/>
    <w:rsid w:val="75874327"/>
    <w:rsid w:val="758D193E"/>
    <w:rsid w:val="75BFD98B"/>
    <w:rsid w:val="75CB61D1"/>
    <w:rsid w:val="75EB0EA0"/>
    <w:rsid w:val="75F33854"/>
    <w:rsid w:val="76404C02"/>
    <w:rsid w:val="76B24357"/>
    <w:rsid w:val="76B455F0"/>
    <w:rsid w:val="771D66E3"/>
    <w:rsid w:val="775748F9"/>
    <w:rsid w:val="777FAA2A"/>
    <w:rsid w:val="77BF8743"/>
    <w:rsid w:val="77CF95A3"/>
    <w:rsid w:val="77D4D2F5"/>
    <w:rsid w:val="77F5BF0A"/>
    <w:rsid w:val="77F8DEF2"/>
    <w:rsid w:val="77FF6A66"/>
    <w:rsid w:val="79C50D0D"/>
    <w:rsid w:val="7A5F98C8"/>
    <w:rsid w:val="7A7E824C"/>
    <w:rsid w:val="7A9F774F"/>
    <w:rsid w:val="7B1BF53F"/>
    <w:rsid w:val="7B476A33"/>
    <w:rsid w:val="7B4BDC25"/>
    <w:rsid w:val="7B783558"/>
    <w:rsid w:val="7B9FB44B"/>
    <w:rsid w:val="7BB75C7A"/>
    <w:rsid w:val="7BBEADA6"/>
    <w:rsid w:val="7BCDC75A"/>
    <w:rsid w:val="7BDBDC76"/>
    <w:rsid w:val="7BDF4CCE"/>
    <w:rsid w:val="7BE4C8E4"/>
    <w:rsid w:val="7BFDF382"/>
    <w:rsid w:val="7BFF0BDB"/>
    <w:rsid w:val="7C3E4075"/>
    <w:rsid w:val="7C3F1C15"/>
    <w:rsid w:val="7C9FD2A3"/>
    <w:rsid w:val="7CAFA0F8"/>
    <w:rsid w:val="7CBF3812"/>
    <w:rsid w:val="7D2E1CD4"/>
    <w:rsid w:val="7DEFD03A"/>
    <w:rsid w:val="7DFEF8B4"/>
    <w:rsid w:val="7E03451C"/>
    <w:rsid w:val="7E7F28AD"/>
    <w:rsid w:val="7E7FD618"/>
    <w:rsid w:val="7EBB3F11"/>
    <w:rsid w:val="7EE785F5"/>
    <w:rsid w:val="7EEB3795"/>
    <w:rsid w:val="7EEF074D"/>
    <w:rsid w:val="7EFD3586"/>
    <w:rsid w:val="7EFEE997"/>
    <w:rsid w:val="7EFF1C38"/>
    <w:rsid w:val="7F405825"/>
    <w:rsid w:val="7F5F1E29"/>
    <w:rsid w:val="7F6702BA"/>
    <w:rsid w:val="7F6F4F65"/>
    <w:rsid w:val="7F7F9126"/>
    <w:rsid w:val="7F9EAAB5"/>
    <w:rsid w:val="7FAEFF87"/>
    <w:rsid w:val="7FB73339"/>
    <w:rsid w:val="7FBF0B62"/>
    <w:rsid w:val="7FC31FB0"/>
    <w:rsid w:val="7FCEA877"/>
    <w:rsid w:val="7FD7D43E"/>
    <w:rsid w:val="7FEB4887"/>
    <w:rsid w:val="7FEBEF58"/>
    <w:rsid w:val="7FFD6863"/>
    <w:rsid w:val="7FFD9594"/>
    <w:rsid w:val="7FFE1869"/>
    <w:rsid w:val="7FFE97A4"/>
    <w:rsid w:val="7FFF3368"/>
    <w:rsid w:val="7FFFF425"/>
    <w:rsid w:val="83DDD689"/>
    <w:rsid w:val="873E6D49"/>
    <w:rsid w:val="8E6CF178"/>
    <w:rsid w:val="91F018C4"/>
    <w:rsid w:val="91F76A83"/>
    <w:rsid w:val="933F20B3"/>
    <w:rsid w:val="95EE41F7"/>
    <w:rsid w:val="96DEEF68"/>
    <w:rsid w:val="97FD291F"/>
    <w:rsid w:val="9B5FEE1E"/>
    <w:rsid w:val="9BFEEE2F"/>
    <w:rsid w:val="9EB78425"/>
    <w:rsid w:val="9EBFA368"/>
    <w:rsid w:val="9ED94564"/>
    <w:rsid w:val="9EDBB43D"/>
    <w:rsid w:val="9F4F882B"/>
    <w:rsid w:val="9FBA45E3"/>
    <w:rsid w:val="9FF24842"/>
    <w:rsid w:val="A6B378C4"/>
    <w:rsid w:val="A7FE3C40"/>
    <w:rsid w:val="AAFF5F43"/>
    <w:rsid w:val="ABB33C2E"/>
    <w:rsid w:val="ABD4E13B"/>
    <w:rsid w:val="ADFBDDAC"/>
    <w:rsid w:val="AE3E6DB3"/>
    <w:rsid w:val="AFB9EC22"/>
    <w:rsid w:val="AFBBD668"/>
    <w:rsid w:val="AFC96675"/>
    <w:rsid w:val="AFFB620E"/>
    <w:rsid w:val="AFFD2259"/>
    <w:rsid w:val="B577BBA6"/>
    <w:rsid w:val="B5B72DEB"/>
    <w:rsid w:val="B5F8B324"/>
    <w:rsid w:val="B5FF3375"/>
    <w:rsid w:val="B6744F82"/>
    <w:rsid w:val="B7BDD5EC"/>
    <w:rsid w:val="B7DE6AAC"/>
    <w:rsid w:val="B7EF8152"/>
    <w:rsid w:val="B83D7DF7"/>
    <w:rsid w:val="BADA9869"/>
    <w:rsid w:val="BB594955"/>
    <w:rsid w:val="BBB6B113"/>
    <w:rsid w:val="BBD622F3"/>
    <w:rsid w:val="BBFD889C"/>
    <w:rsid w:val="BCFDBE1F"/>
    <w:rsid w:val="BD5FEA4C"/>
    <w:rsid w:val="BDADCCD6"/>
    <w:rsid w:val="BEDC32A8"/>
    <w:rsid w:val="BF6F61BE"/>
    <w:rsid w:val="BF7E7358"/>
    <w:rsid w:val="BF7EBAE9"/>
    <w:rsid w:val="BFBB93AF"/>
    <w:rsid w:val="BFDFC906"/>
    <w:rsid w:val="BFE8B2DB"/>
    <w:rsid w:val="BFF61D78"/>
    <w:rsid w:val="BFFC78CC"/>
    <w:rsid w:val="BFFE098E"/>
    <w:rsid w:val="BFFEBAC7"/>
    <w:rsid w:val="C77B4E9B"/>
    <w:rsid w:val="C7D3802B"/>
    <w:rsid w:val="CB383F4A"/>
    <w:rsid w:val="CBFFD39D"/>
    <w:rsid w:val="CBFFDD16"/>
    <w:rsid w:val="CE5F2308"/>
    <w:rsid w:val="CE9F929D"/>
    <w:rsid w:val="CFF902FE"/>
    <w:rsid w:val="CFFE1C98"/>
    <w:rsid w:val="D1AD6F54"/>
    <w:rsid w:val="D1C85F2A"/>
    <w:rsid w:val="D3FD0588"/>
    <w:rsid w:val="D3FFD7EC"/>
    <w:rsid w:val="D5DFA4F6"/>
    <w:rsid w:val="D5F3C2BC"/>
    <w:rsid w:val="D5FFBFFD"/>
    <w:rsid w:val="D79F4987"/>
    <w:rsid w:val="D7D395A3"/>
    <w:rsid w:val="D7EC2EDF"/>
    <w:rsid w:val="D7FF9CA7"/>
    <w:rsid w:val="D9D7C950"/>
    <w:rsid w:val="DB7A580B"/>
    <w:rsid w:val="DBDE6255"/>
    <w:rsid w:val="DBFE290D"/>
    <w:rsid w:val="DC7647C7"/>
    <w:rsid w:val="DCCF1905"/>
    <w:rsid w:val="DCF7CCA1"/>
    <w:rsid w:val="DDCD171B"/>
    <w:rsid w:val="DE6E83DC"/>
    <w:rsid w:val="DF73A238"/>
    <w:rsid w:val="DF9D3F4D"/>
    <w:rsid w:val="DFACB530"/>
    <w:rsid w:val="DFAF1681"/>
    <w:rsid w:val="DFBF28FE"/>
    <w:rsid w:val="DFCFCF3E"/>
    <w:rsid w:val="DFFADD1C"/>
    <w:rsid w:val="E35BBCF0"/>
    <w:rsid w:val="E4F7AFF8"/>
    <w:rsid w:val="E4FF60A4"/>
    <w:rsid w:val="E69232D5"/>
    <w:rsid w:val="E6FEA802"/>
    <w:rsid w:val="E7EFC70E"/>
    <w:rsid w:val="E9FF2E71"/>
    <w:rsid w:val="EAE5ECA2"/>
    <w:rsid w:val="EAF76B53"/>
    <w:rsid w:val="EB7F19D2"/>
    <w:rsid w:val="EBBF29EA"/>
    <w:rsid w:val="EBDF61F7"/>
    <w:rsid w:val="EBFFAB0C"/>
    <w:rsid w:val="ECFD10DB"/>
    <w:rsid w:val="ECFDFE98"/>
    <w:rsid w:val="ECFEB65C"/>
    <w:rsid w:val="EDFDB0A7"/>
    <w:rsid w:val="EDFF991D"/>
    <w:rsid w:val="EEAE6431"/>
    <w:rsid w:val="EEB329BE"/>
    <w:rsid w:val="EEDD7728"/>
    <w:rsid w:val="EF6D8A25"/>
    <w:rsid w:val="EF6F6007"/>
    <w:rsid w:val="EFDBC35E"/>
    <w:rsid w:val="EFDF1C47"/>
    <w:rsid w:val="EFF77013"/>
    <w:rsid w:val="EFFB8E7F"/>
    <w:rsid w:val="EFFC35C8"/>
    <w:rsid w:val="F29DE306"/>
    <w:rsid w:val="F2D70F69"/>
    <w:rsid w:val="F3AB82CC"/>
    <w:rsid w:val="F4AF24FE"/>
    <w:rsid w:val="F55916C7"/>
    <w:rsid w:val="F5F72751"/>
    <w:rsid w:val="F5FB4289"/>
    <w:rsid w:val="F5FFAA0B"/>
    <w:rsid w:val="F67D5D77"/>
    <w:rsid w:val="F6CF6B73"/>
    <w:rsid w:val="F729A772"/>
    <w:rsid w:val="F75FB4B5"/>
    <w:rsid w:val="F7768520"/>
    <w:rsid w:val="F77F0137"/>
    <w:rsid w:val="F79F25AB"/>
    <w:rsid w:val="F7AF4C96"/>
    <w:rsid w:val="F7B7E379"/>
    <w:rsid w:val="F7BB2894"/>
    <w:rsid w:val="F7BF911D"/>
    <w:rsid w:val="F7CF25E1"/>
    <w:rsid w:val="F7D3F11A"/>
    <w:rsid w:val="F7DBEF0B"/>
    <w:rsid w:val="F8BEA65B"/>
    <w:rsid w:val="F9BA3C2D"/>
    <w:rsid w:val="F9F9B448"/>
    <w:rsid w:val="F9FE3BB9"/>
    <w:rsid w:val="FAD43116"/>
    <w:rsid w:val="FAF904CC"/>
    <w:rsid w:val="FB7C0E39"/>
    <w:rsid w:val="FB7F9E83"/>
    <w:rsid w:val="FBB1603B"/>
    <w:rsid w:val="FBE2F594"/>
    <w:rsid w:val="FBEF3FDD"/>
    <w:rsid w:val="FBEF88A9"/>
    <w:rsid w:val="FBF99F45"/>
    <w:rsid w:val="FD5CF592"/>
    <w:rsid w:val="FDB56F9D"/>
    <w:rsid w:val="FDBF37D0"/>
    <w:rsid w:val="FDF946F3"/>
    <w:rsid w:val="FDFFD172"/>
    <w:rsid w:val="FE4E0ADE"/>
    <w:rsid w:val="FE7FF5EE"/>
    <w:rsid w:val="FEBA80DC"/>
    <w:rsid w:val="FEDFF6E6"/>
    <w:rsid w:val="FEF7200A"/>
    <w:rsid w:val="FEFDB8C9"/>
    <w:rsid w:val="FEFE47B4"/>
    <w:rsid w:val="FEFEA54C"/>
    <w:rsid w:val="FF031D70"/>
    <w:rsid w:val="FF57A0EB"/>
    <w:rsid w:val="FF595195"/>
    <w:rsid w:val="FF5ECAC8"/>
    <w:rsid w:val="FF6D9EC7"/>
    <w:rsid w:val="FF74B782"/>
    <w:rsid w:val="FF7F9985"/>
    <w:rsid w:val="FF9F3298"/>
    <w:rsid w:val="FFA385A8"/>
    <w:rsid w:val="FFA44107"/>
    <w:rsid w:val="FFABE328"/>
    <w:rsid w:val="FFAFF615"/>
    <w:rsid w:val="FFBEDBD4"/>
    <w:rsid w:val="FFBF1A58"/>
    <w:rsid w:val="FFBF2DFA"/>
    <w:rsid w:val="FFEBAF3A"/>
    <w:rsid w:val="FFED4E81"/>
    <w:rsid w:val="FFEE74C4"/>
    <w:rsid w:val="FFEF176E"/>
    <w:rsid w:val="FFF3032A"/>
    <w:rsid w:val="FFF3A7EA"/>
    <w:rsid w:val="FFF9D005"/>
    <w:rsid w:val="FFFB402C"/>
    <w:rsid w:val="FFFF9B90"/>
    <w:rsid w:val="FFFF9D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qFormat="1" w:unhideWhenUsed="0" w:uiPriority="99"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link w:val="15"/>
    <w:semiHidden/>
    <w:unhideWhenUsed/>
    <w:qFormat/>
    <w:uiPriority w:val="0"/>
    <w:pPr>
      <w:keepNext/>
      <w:keepLines/>
      <w:spacing w:beforeLines="0" w:beforeAutospacing="0" w:afterLines="0" w:afterAutospacing="0" w:line="560" w:lineRule="atLeast"/>
      <w:ind w:firstLine="640" w:firstLineChars="200"/>
      <w:outlineLvl w:val="1"/>
    </w:pPr>
    <w:rPr>
      <w:rFonts w:ascii="Arial" w:hAnsi="Arial" w:eastAsia="方正楷体_GBK"/>
      <w:b/>
      <w:sz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footnote text"/>
    <w:basedOn w:val="1"/>
    <w:next w:val="1"/>
    <w:semiHidden/>
    <w:qFormat/>
    <w:uiPriority w:val="99"/>
    <w:pPr>
      <w:snapToGrid w:val="0"/>
      <w:jc w:val="left"/>
    </w:pPr>
    <w:rPr>
      <w:sz w:val="18"/>
      <w:szCs w:val="18"/>
    </w:rPr>
  </w:style>
  <w:style w:type="paragraph" w:styleId="4">
    <w:name w:val="index 8"/>
    <w:basedOn w:val="1"/>
    <w:next w:val="1"/>
    <w:qFormat/>
    <w:uiPriority w:val="0"/>
    <w:pPr>
      <w:ind w:left="2940"/>
    </w:pPr>
    <w:rPr>
      <w:rFonts w:ascii="宋体" w:hAnsi="Times New Roman" w:eastAsia="宋体" w:cs="Times New Roman"/>
      <w:sz w:val="24"/>
      <w:szCs w:val="21"/>
    </w:rPr>
  </w:style>
  <w:style w:type="paragraph" w:styleId="5">
    <w:name w:val="Normal Indent"/>
    <w:basedOn w:val="1"/>
    <w:next w:val="1"/>
    <w:link w:val="16"/>
    <w:qFormat/>
    <w:uiPriority w:val="99"/>
    <w:pPr>
      <w:spacing w:line="560" w:lineRule="exact"/>
      <w:ind w:firstLine="200" w:firstLineChars="200"/>
    </w:pPr>
    <w:rPr>
      <w:rFonts w:eastAsia="仿宋_GB2312" w:asciiTheme="minorAscii" w:hAnsiTheme="minorAscii"/>
      <w:sz w:val="32"/>
    </w:rPr>
  </w:style>
  <w:style w:type="paragraph" w:styleId="6">
    <w:name w:val="Body Text"/>
    <w:basedOn w:val="1"/>
    <w:next w:val="1"/>
    <w:qFormat/>
    <w:uiPriority w:val="0"/>
    <w:pPr>
      <w:spacing w:after="120" w:afterLines="0" w:afterAutospacing="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character" w:styleId="12">
    <w:name w:val="Emphasis"/>
    <w:basedOn w:val="11"/>
    <w:qFormat/>
    <w:uiPriority w:val="0"/>
    <w:rPr>
      <w:i/>
    </w:rPr>
  </w:style>
  <w:style w:type="paragraph" w:customStyle="1" w:styleId="13">
    <w:name w:val="index 51"/>
    <w:next w:val="1"/>
    <w:qFormat/>
    <w:uiPriority w:val="0"/>
    <w:pPr>
      <w:widowControl w:val="0"/>
      <w:spacing w:line="560" w:lineRule="exact"/>
      <w:ind w:left="1680" w:leftChars="800" w:firstLine="2880" w:firstLineChars="900"/>
      <w:jc w:val="left"/>
    </w:pPr>
    <w:rPr>
      <w:rFonts w:ascii="仿宋" w:hAnsi="仿宋" w:eastAsia="仿宋" w:cs="仿宋"/>
      <w:color w:val="FF0000"/>
      <w:kern w:val="2"/>
      <w:sz w:val="32"/>
      <w:szCs w:val="32"/>
      <w:lang w:val="en-US" w:eastAsia="zh-CN" w:bidi="ar-SA"/>
    </w:rPr>
  </w:style>
  <w:style w:type="character" w:customStyle="1" w:styleId="14">
    <w:name w:val="NormalCharacter"/>
    <w:semiHidden/>
    <w:qFormat/>
    <w:uiPriority w:val="0"/>
    <w:rPr>
      <w:rFonts w:ascii="Calibri" w:hAnsi="Calibri" w:eastAsia="宋体" w:cs="Times New Roman"/>
      <w:kern w:val="2"/>
      <w:sz w:val="21"/>
      <w:szCs w:val="24"/>
      <w:lang w:val="en-US" w:eastAsia="zh-CN" w:bidi="ar-SA"/>
    </w:rPr>
  </w:style>
  <w:style w:type="character" w:customStyle="1" w:styleId="15">
    <w:name w:val="标题 2 Char"/>
    <w:link w:val="3"/>
    <w:qFormat/>
    <w:uiPriority w:val="0"/>
    <w:rPr>
      <w:rFonts w:ascii="Arial" w:hAnsi="Arial" w:eastAsia="方正楷体_GBK"/>
      <w:b/>
      <w:sz w:val="32"/>
    </w:rPr>
  </w:style>
  <w:style w:type="character" w:customStyle="1" w:styleId="16">
    <w:name w:val="正文缩进 Char"/>
    <w:link w:val="5"/>
    <w:qFormat/>
    <w:uiPriority w:val="99"/>
    <w:rPr>
      <w:rFonts w:eastAsia="仿宋_GB2312" w:asciiTheme="minorAscii" w:hAnsiTheme="minorAscii"/>
      <w:sz w:val="32"/>
    </w:rPr>
  </w:style>
  <w:style w:type="paragraph" w:customStyle="1" w:styleId="17">
    <w:name w:val="正文文本 21"/>
    <w:qFormat/>
    <w:uiPriority w:val="0"/>
    <w:pPr>
      <w:widowControl w:val="0"/>
      <w:spacing w:after="120" w:line="480" w:lineRule="auto"/>
      <w:jc w:val="both"/>
    </w:pPr>
    <w:rPr>
      <w:rFonts w:ascii="Times New Roman" w:hAnsi="Times New Roman" w:eastAsia="宋体" w:cs="黑体"/>
      <w:kern w:val="2"/>
      <w:sz w:val="21"/>
      <w:szCs w:val="24"/>
      <w:lang w:val="en-US" w:eastAsia="zh-CN" w:bidi="ar-SA"/>
    </w:rPr>
  </w:style>
  <w:style w:type="paragraph" w:customStyle="1" w:styleId="18">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7701</Words>
  <Characters>7966</Characters>
  <Lines>0</Lines>
  <Paragraphs>0</Paragraphs>
  <TotalTime>64</TotalTime>
  <ScaleCrop>false</ScaleCrop>
  <LinksUpToDate>false</LinksUpToDate>
  <CharactersWithSpaces>7973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2022-12-11T14:21:00Z</dcterms:created>
  <dc:creator>greatwall</dc:creator>
  <cp:lastModifiedBy>微醺</cp:lastModifiedBy>
  <cp:lastPrinted>2023-02-04T12:39:00Z</cp:lastPrinted>
  <dcterms:modified xsi:type="dcterms:W3CDTF">2026-08-24T09:11:16Z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096E2DB9AFA2486EA31ABD5DAA59A965_13</vt:lpwstr>
  </property>
</Properties>
</file>