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EECC8">
      <w:pPr>
        <w:pStyle w:val="14"/>
        <w:widowControl/>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国有建设用地使用权网上出让须知（拍卖）</w:t>
      </w:r>
      <w:bookmarkStart w:id="0" w:name="_GoBack"/>
      <w:bookmarkEnd w:id="0"/>
    </w:p>
    <w:p w14:paraId="092F2A81">
      <w:pPr>
        <w:pStyle w:val="12"/>
        <w:widowControl/>
        <w:spacing w:beforeAutospacing="1" w:afterAutospacing="1"/>
        <w:ind w:firstLine="540" w:firstLineChars="200"/>
      </w:pPr>
      <w:r>
        <w:rPr>
          <w:rFonts w:hint="eastAsia" w:ascii="宋体" w:hAnsi="宋体" w:eastAsia="宋体" w:cs="宋体"/>
        </w:rPr>
        <w:t>根据《中华人民共和国土地管理法》《招标拍卖挂牌出让国有建设用地使用权规定》（国土资源部令第39号）和《河南省人民政府办公厅关于转发河南省国有建设用地使用权网上交易管理办法的通知》（豫政办〔2015〕135号）等法律法规和有关规定， 经批准，</w:t>
      </w:r>
      <w:r>
        <w:rPr>
          <w:rStyle w:val="15"/>
          <w:rFonts w:hint="eastAsia" w:ascii="宋体" w:hAnsi="宋体" w:eastAsia="宋体" w:cs="宋体"/>
        </w:rPr>
        <w:t>沈丘县自然资源局</w:t>
      </w:r>
      <w:r>
        <w:rPr>
          <w:rFonts w:hint="eastAsia" w:ascii="宋体" w:hAnsi="宋体" w:eastAsia="宋体" w:cs="宋体"/>
        </w:rPr>
        <w:t>决定以网上拍卖方式出让</w:t>
      </w:r>
      <w:r>
        <w:rPr>
          <w:rFonts w:hint="eastAsia" w:ascii="宋体" w:hAnsi="宋体" w:eastAsia="宋体" w:cs="宋体"/>
          <w:lang w:val="en-US" w:eastAsia="zh-CN"/>
        </w:rPr>
        <w:t>1</w:t>
      </w:r>
      <w:r>
        <w:rPr>
          <w:rFonts w:hint="eastAsia" w:ascii="宋体" w:hAnsi="宋体" w:eastAsia="宋体" w:cs="宋体"/>
        </w:rPr>
        <w:t xml:space="preserve">宗国有建设用地使用权。 </w:t>
      </w:r>
    </w:p>
    <w:p w14:paraId="62577F81">
      <w:pPr>
        <w:pStyle w:val="11"/>
        <w:widowControl/>
        <w:spacing w:beforeAutospacing="1" w:afterAutospacing="1"/>
      </w:pPr>
      <w:r>
        <w:rPr>
          <w:rFonts w:hint="eastAsia" w:ascii="宋体" w:hAnsi="宋体" w:eastAsia="宋体" w:cs="宋体"/>
        </w:rPr>
        <w:t xml:space="preserve">一、出让人、有关机构及其联系方式 </w:t>
      </w:r>
    </w:p>
    <w:p w14:paraId="0C1996C3">
      <w:pPr>
        <w:pStyle w:val="12"/>
        <w:widowControl/>
        <w:spacing w:beforeAutospacing="1" w:afterAutospacing="1"/>
      </w:pPr>
      <w:r>
        <w:rPr>
          <w:rFonts w:hint="eastAsia" w:ascii="宋体" w:hAnsi="宋体" w:eastAsia="宋体" w:cs="宋体"/>
        </w:rPr>
        <w:t xml:space="preserve">（一）出让人及承办机构 </w:t>
      </w:r>
    </w:p>
    <w:p w14:paraId="0130D656">
      <w:pPr>
        <w:pStyle w:val="12"/>
        <w:widowControl/>
        <w:spacing w:beforeAutospacing="1" w:afterAutospacing="1"/>
      </w:pPr>
      <w:r>
        <w:rPr>
          <w:rFonts w:hint="eastAsia" w:ascii="宋体" w:hAnsi="宋体" w:eastAsia="宋体" w:cs="宋体"/>
        </w:rPr>
        <w:t>本次网上拍卖出让人为</w:t>
      </w:r>
      <w:r>
        <w:rPr>
          <w:rStyle w:val="15"/>
          <w:rFonts w:hint="eastAsia" w:ascii="宋体" w:hAnsi="宋体" w:eastAsia="宋体" w:cs="宋体"/>
        </w:rPr>
        <w:t>沈丘县自然资源局</w:t>
      </w:r>
      <w:r>
        <w:rPr>
          <w:rFonts w:hint="eastAsia" w:ascii="宋体" w:hAnsi="宋体" w:eastAsia="宋体" w:cs="宋体"/>
        </w:rPr>
        <w:t>， 拍卖承办机构为 &lt;</w:t>
      </w:r>
      <w:r>
        <w:rPr>
          <w:rStyle w:val="15"/>
          <w:rFonts w:hint="eastAsia" w:ascii="宋体" w:hAnsi="宋体" w:eastAsia="宋体" w:cs="宋体"/>
        </w:rPr>
        <w:t>周口市公共资源交易中心</w:t>
      </w:r>
      <w:r>
        <w:rPr>
          <w:rFonts w:hint="eastAsia" w:ascii="宋体" w:hAnsi="宋体" w:eastAsia="宋体" w:cs="宋体"/>
        </w:rPr>
        <w:t xml:space="preserve">&gt;。 </w:t>
      </w:r>
    </w:p>
    <w:p w14:paraId="40CC2FAC">
      <w:pPr>
        <w:pStyle w:val="12"/>
        <w:widowControl/>
        <w:spacing w:beforeAutospacing="1" w:afterAutospacing="1"/>
      </w:pPr>
      <w:r>
        <w:rPr>
          <w:rFonts w:hint="eastAsia" w:ascii="宋体" w:hAnsi="宋体" w:eastAsia="宋体" w:cs="宋体"/>
        </w:rPr>
        <w:t xml:space="preserve">（二）出让人及有关机构联系方式 </w:t>
      </w:r>
    </w:p>
    <w:p w14:paraId="5AD2F5CD">
      <w:pPr>
        <w:pStyle w:val="10"/>
        <w:widowControl/>
        <w:spacing w:beforeAutospacing="1" w:afterAutospacing="1"/>
        <w:rPr>
          <w:rFonts w:cs="宋体" w:asciiTheme="minorEastAsia" w:hAnsiTheme="minorEastAsia"/>
          <w:sz w:val="28"/>
          <w:szCs w:val="28"/>
        </w:rPr>
      </w:pPr>
      <w:r>
        <w:rPr>
          <w:rFonts w:hint="eastAsia" w:cs="宋体" w:asciiTheme="minorEastAsia" w:hAnsiTheme="minorEastAsia"/>
          <w:sz w:val="28"/>
          <w:szCs w:val="28"/>
        </w:rPr>
        <w:t>1、</w:t>
      </w:r>
      <w:r>
        <w:rPr>
          <w:rFonts w:hint="eastAsia" w:cs="宋体" w:asciiTheme="minorEastAsia" w:hAnsiTheme="minorEastAsia"/>
          <w:sz w:val="28"/>
          <w:szCs w:val="28"/>
          <w:u w:val="single"/>
        </w:rPr>
        <w:t>沈丘县</w:t>
      </w:r>
      <w:r>
        <w:rPr>
          <w:rStyle w:val="15"/>
          <w:rFonts w:hint="eastAsia" w:cs="宋体" w:asciiTheme="minorEastAsia" w:hAnsiTheme="minorEastAsia"/>
          <w:sz w:val="28"/>
          <w:szCs w:val="28"/>
        </w:rPr>
        <w:t>自然资源局</w:t>
      </w:r>
      <w:r>
        <w:rPr>
          <w:rFonts w:hint="eastAsia" w:cs="宋体" w:asciiTheme="minorEastAsia" w:hAnsiTheme="minorEastAsia"/>
          <w:sz w:val="28"/>
          <w:szCs w:val="28"/>
        </w:rPr>
        <w:t>联系方式</w:t>
      </w:r>
    </w:p>
    <w:p w14:paraId="06D0FE78">
      <w:pPr>
        <w:pStyle w:val="10"/>
        <w:widowControl/>
        <w:spacing w:beforeAutospacing="1" w:afterAutospacing="1" w:line="500" w:lineRule="exact"/>
        <w:rPr>
          <w:rStyle w:val="15"/>
          <w:rFonts w:cs="宋体" w:asciiTheme="minorEastAsia" w:hAnsiTheme="minorEastAsia"/>
          <w:sz w:val="28"/>
          <w:szCs w:val="28"/>
        </w:rPr>
      </w:pPr>
      <w:r>
        <w:rPr>
          <w:rFonts w:hint="eastAsia" w:cs="宋体" w:asciiTheme="minorEastAsia" w:hAnsiTheme="minorEastAsia"/>
          <w:sz w:val="28"/>
          <w:szCs w:val="28"/>
        </w:rPr>
        <w:t>地  址：&lt;</w:t>
      </w:r>
      <w:r>
        <w:rPr>
          <w:rStyle w:val="15"/>
          <w:rFonts w:hint="eastAsia" w:cs="宋体" w:asciiTheme="minorEastAsia" w:hAnsiTheme="minorEastAsia"/>
          <w:sz w:val="28"/>
          <w:szCs w:val="28"/>
        </w:rPr>
        <w:t xml:space="preserve"> 沈丘县群贤路 &gt;</w:t>
      </w:r>
    </w:p>
    <w:p w14:paraId="53695A72">
      <w:pPr>
        <w:pStyle w:val="10"/>
        <w:widowControl/>
        <w:spacing w:beforeAutospacing="1" w:afterAutospacing="1" w:line="500" w:lineRule="exact"/>
        <w:rPr>
          <w:rStyle w:val="15"/>
          <w:rFonts w:ascii="宋体" w:hAnsi="宋体" w:eastAsia="宋体" w:cs="宋体"/>
        </w:rPr>
      </w:pPr>
      <w:r>
        <w:rPr>
          <w:rFonts w:hint="eastAsia" w:cs="宋体" w:asciiTheme="minorEastAsia" w:hAnsiTheme="minorEastAsia"/>
          <w:sz w:val="28"/>
          <w:szCs w:val="28"/>
        </w:rPr>
        <w:t>联系人：&lt;</w:t>
      </w:r>
      <w:r>
        <w:rPr>
          <w:rStyle w:val="15"/>
          <w:rFonts w:hint="eastAsia" w:cs="宋体" w:asciiTheme="minorEastAsia" w:hAnsiTheme="minorEastAsia"/>
          <w:sz w:val="28"/>
          <w:szCs w:val="28"/>
        </w:rPr>
        <w:t xml:space="preserve">   高先生      &gt;</w:t>
      </w:r>
      <w:r>
        <w:rPr>
          <w:rFonts w:hint="eastAsia" w:cs="宋体" w:asciiTheme="minorEastAsia" w:hAnsiTheme="minorEastAsia"/>
          <w:sz w:val="28"/>
          <w:szCs w:val="28"/>
        </w:rPr>
        <w:br w:type="textWrapping"/>
      </w:r>
      <w:r>
        <w:rPr>
          <w:rFonts w:hint="eastAsia" w:cs="宋体" w:asciiTheme="minorEastAsia" w:hAnsiTheme="minorEastAsia"/>
          <w:sz w:val="28"/>
          <w:szCs w:val="28"/>
        </w:rPr>
        <w:t>联系电话：&lt;</w:t>
      </w:r>
      <w:r>
        <w:rPr>
          <w:rStyle w:val="15"/>
          <w:rFonts w:hint="eastAsia" w:cs="宋体" w:asciiTheme="minorEastAsia" w:hAnsiTheme="minorEastAsia"/>
          <w:sz w:val="28"/>
          <w:szCs w:val="28"/>
        </w:rPr>
        <w:t xml:space="preserve">    13781299958     </w:t>
      </w:r>
      <w:r>
        <w:rPr>
          <w:rFonts w:hint="eastAsia" w:cs="宋体" w:asciiTheme="minorEastAsia" w:hAnsiTheme="minorEastAsia"/>
          <w:sz w:val="28"/>
          <w:szCs w:val="28"/>
        </w:rPr>
        <w:t>&gt;</w:t>
      </w:r>
      <w:r>
        <w:rPr>
          <w:rFonts w:hint="eastAsia" w:ascii="宋体" w:hAnsi="宋体" w:eastAsia="宋体" w:cs="宋体"/>
        </w:rPr>
        <w:br w:type="textWrapping"/>
      </w:r>
      <w:r>
        <w:rPr>
          <w:rFonts w:hint="eastAsia" w:ascii="宋体" w:hAnsi="宋体" w:eastAsia="宋体" w:cs="宋体"/>
        </w:rPr>
        <w:t>2、承办机构联系方式</w:t>
      </w:r>
      <w:r>
        <w:rPr>
          <w:rFonts w:hint="eastAsia" w:ascii="宋体" w:hAnsi="宋体" w:eastAsia="宋体" w:cs="宋体"/>
        </w:rPr>
        <w:br w:type="textWrapping"/>
      </w:r>
      <w:r>
        <w:rPr>
          <w:rFonts w:hint="eastAsia" w:ascii="宋体" w:hAnsi="宋体" w:eastAsia="宋体" w:cs="宋体"/>
        </w:rPr>
        <w:t>地址：</w:t>
      </w:r>
      <w:r>
        <w:rPr>
          <w:rStyle w:val="15"/>
          <w:rFonts w:hint="eastAsia" w:ascii="宋体" w:hAnsi="宋体" w:eastAsia="宋体" w:cs="宋体"/>
        </w:rPr>
        <w:t>周口市政通路与光明路交叉口市公共资源交易中心</w:t>
      </w:r>
    </w:p>
    <w:p w14:paraId="603DAE16">
      <w:pPr>
        <w:pStyle w:val="10"/>
        <w:widowControl/>
        <w:spacing w:beforeAutospacing="1" w:afterAutospacing="1"/>
        <w:rPr>
          <w:rFonts w:ascii="宋体" w:hAnsi="宋体" w:eastAsia="宋体" w:cs="宋体"/>
        </w:rPr>
      </w:pPr>
      <w:r>
        <w:rPr>
          <w:rFonts w:hint="eastAsia" w:ascii="宋体" w:hAnsi="宋体" w:eastAsia="宋体" w:cs="宋体"/>
        </w:rPr>
        <w:t>联系人：&lt;</w:t>
      </w:r>
      <w:r>
        <w:rPr>
          <w:rStyle w:val="15"/>
          <w:rFonts w:hint="eastAsia" w:ascii="宋体" w:hAnsi="宋体" w:eastAsia="宋体" w:cs="宋体"/>
        </w:rPr>
        <w:t xml:space="preserve">         &gt;</w:t>
      </w:r>
      <w:r>
        <w:rPr>
          <w:rFonts w:hint="eastAsia" w:ascii="宋体" w:hAnsi="宋体" w:eastAsia="宋体" w:cs="宋体"/>
        </w:rPr>
        <w:br w:type="textWrapping"/>
      </w:r>
      <w:r>
        <w:rPr>
          <w:rFonts w:hint="eastAsia" w:ascii="宋体" w:hAnsi="宋体" w:eastAsia="宋体" w:cs="宋体"/>
        </w:rPr>
        <w:t>联系电话：</w:t>
      </w:r>
      <w:r>
        <w:rPr>
          <w:rStyle w:val="15"/>
          <w:rFonts w:hint="eastAsia" w:ascii="宋体" w:hAnsi="宋体" w:eastAsia="宋体" w:cs="宋体"/>
        </w:rPr>
        <w:t>0394-8106569</w:t>
      </w:r>
      <w:r>
        <w:rPr>
          <w:rFonts w:hint="eastAsia" w:ascii="宋体" w:hAnsi="宋体" w:eastAsia="宋体" w:cs="宋体"/>
        </w:rPr>
        <w:br w:type="textWrapping"/>
      </w:r>
      <w:r>
        <w:rPr>
          <w:rFonts w:hint="eastAsia" w:ascii="宋体" w:hAnsi="宋体" w:eastAsia="宋体" w:cs="宋体"/>
        </w:rPr>
        <w:t>3、河南省信息化发展有限公司(CA公司) 联系方式</w:t>
      </w:r>
    </w:p>
    <w:p w14:paraId="513F3DFA">
      <w:pPr>
        <w:pStyle w:val="10"/>
        <w:widowControl/>
        <w:spacing w:beforeAutospacing="1" w:afterAutospacing="1"/>
        <w:rPr>
          <w:rFonts w:ascii="宋体" w:hAnsi="宋体" w:eastAsia="宋体" w:cs="宋体"/>
        </w:rPr>
      </w:pPr>
      <w:r>
        <w:rPr>
          <w:rFonts w:hint="eastAsia" w:ascii="宋体" w:hAnsi="宋体" w:eastAsia="宋体" w:cs="宋体"/>
        </w:rPr>
        <w:t>周口市办证大厅地址： 周口市公共资源交易中心一楼办事大厅</w:t>
      </w:r>
    </w:p>
    <w:p w14:paraId="1EFDB992">
      <w:pPr>
        <w:pStyle w:val="10"/>
        <w:widowControl/>
        <w:spacing w:beforeAutospacing="1" w:afterAutospacing="1"/>
        <w:rPr>
          <w:rFonts w:ascii="宋体" w:hAnsi="宋体" w:eastAsia="宋体" w:cs="宋体"/>
        </w:rPr>
      </w:pPr>
      <w:r>
        <w:rPr>
          <w:rFonts w:hint="eastAsia" w:ascii="宋体" w:hAnsi="宋体" w:eastAsia="宋体" w:cs="宋体"/>
        </w:rPr>
        <w:t>服务热线：0371-96596  13673942009 </w:t>
      </w:r>
    </w:p>
    <w:p w14:paraId="669ABE10">
      <w:pPr>
        <w:pStyle w:val="11"/>
        <w:widowControl/>
        <w:spacing w:beforeAutospacing="1" w:afterAutospacing="1"/>
      </w:pPr>
      <w:r>
        <w:rPr>
          <w:rFonts w:hint="eastAsia" w:ascii="宋体" w:hAnsi="宋体" w:eastAsia="宋体" w:cs="宋体"/>
        </w:rPr>
        <w:t xml:space="preserve">二、本次国有建设用地使用权网上拍卖出让遵循公开、公平、公正和诚实信用原则。 </w:t>
      </w:r>
    </w:p>
    <w:p w14:paraId="597A7BA0">
      <w:pPr>
        <w:pStyle w:val="11"/>
        <w:widowControl/>
        <w:spacing w:beforeAutospacing="1" w:afterAutospacing="1"/>
        <w:rPr>
          <w:rFonts w:ascii="宋体" w:hAnsi="宋体" w:eastAsia="宋体" w:cs="宋体"/>
        </w:rPr>
      </w:pPr>
      <w:r>
        <w:rPr>
          <w:rFonts w:hint="eastAsia" w:ascii="宋体" w:hAnsi="宋体" w:eastAsia="宋体" w:cs="宋体"/>
        </w:rPr>
        <w:t xml:space="preserve">三、出让地块的基本情况及使用条件 </w:t>
      </w:r>
    </w:p>
    <w:p w14:paraId="32DADB1A">
      <w:pPr>
        <w:widowControl/>
        <w:spacing w:line="560" w:lineRule="exact"/>
        <w:jc w:val="left"/>
        <w:rPr>
          <w:rFonts w:cs="宋体" w:asciiTheme="minorEastAsia" w:hAnsiTheme="minorEastAsia"/>
          <w:sz w:val="28"/>
          <w:szCs w:val="28"/>
        </w:rPr>
      </w:pPr>
      <w:r>
        <w:rPr>
          <w:rFonts w:hint="eastAsia" w:cs="宋体" w:asciiTheme="minorEastAsia" w:hAnsiTheme="minorEastAsia"/>
          <w:sz w:val="28"/>
          <w:szCs w:val="28"/>
        </w:rPr>
        <w:t>（一）地块编号：SQ2023-149</w:t>
      </w:r>
    </w:p>
    <w:p w14:paraId="51C5207A">
      <w:pPr>
        <w:widowControl/>
        <w:spacing w:line="560" w:lineRule="exact"/>
        <w:jc w:val="left"/>
        <w:rPr>
          <w:rFonts w:cs="宋体" w:asciiTheme="minorEastAsia" w:hAnsiTheme="minorEastAsia"/>
          <w:sz w:val="28"/>
          <w:szCs w:val="28"/>
        </w:rPr>
      </w:pPr>
      <w:r>
        <w:rPr>
          <w:rFonts w:hint="eastAsia" w:cs="宋体" w:asciiTheme="minorEastAsia" w:hAnsiTheme="minorEastAsia"/>
          <w:sz w:val="28"/>
          <w:szCs w:val="28"/>
        </w:rPr>
        <w:t>（二）地块位置：位于卞路口乡境内</w:t>
      </w:r>
      <w:r>
        <w:rPr>
          <w:rFonts w:hint="eastAsia" w:cs="宋体" w:asciiTheme="minorEastAsia" w:hAnsiTheme="minorEastAsia"/>
          <w:sz w:val="28"/>
          <w:szCs w:val="28"/>
          <w:lang w:eastAsia="zh-CN"/>
        </w:rPr>
        <w:t>（</w:t>
      </w:r>
      <w:r>
        <w:rPr>
          <w:rFonts w:hint="eastAsia" w:cs="宋体" w:asciiTheme="minorEastAsia" w:hAnsiTheme="minorEastAsia"/>
          <w:sz w:val="28"/>
          <w:szCs w:val="28"/>
          <w:lang w:val="en-US" w:eastAsia="zh-CN"/>
        </w:rPr>
        <w:t>原卞路口乡水利站</w:t>
      </w:r>
      <w:r>
        <w:rPr>
          <w:rFonts w:hint="eastAsia" w:cs="宋体" w:asciiTheme="minorEastAsia" w:hAnsiTheme="minorEastAsia"/>
          <w:sz w:val="28"/>
          <w:szCs w:val="28"/>
          <w:lang w:eastAsia="zh-CN"/>
        </w:rPr>
        <w:t>）</w:t>
      </w:r>
      <w:r>
        <w:rPr>
          <w:rFonts w:hint="eastAsia" w:cs="宋体" w:asciiTheme="minorEastAsia" w:hAnsiTheme="minorEastAsia"/>
          <w:sz w:val="28"/>
          <w:szCs w:val="28"/>
        </w:rPr>
        <w:br w:type="textWrapping"/>
      </w:r>
      <w:r>
        <w:rPr>
          <w:rFonts w:hint="eastAsia" w:cs="宋体" w:asciiTheme="minorEastAsia" w:hAnsiTheme="minorEastAsia"/>
          <w:sz w:val="28"/>
          <w:szCs w:val="28"/>
        </w:rPr>
        <w:t>（三）地块四至范围：东邻居民点、空地，西邻路，南邻居民点，北邻居民点</w:t>
      </w:r>
    </w:p>
    <w:p w14:paraId="36F55145">
      <w:pPr>
        <w:widowControl/>
        <w:spacing w:line="560" w:lineRule="exact"/>
        <w:jc w:val="left"/>
        <w:rPr>
          <w:rFonts w:cs="宋体" w:asciiTheme="minorEastAsia" w:hAnsiTheme="minorEastAsia"/>
          <w:sz w:val="28"/>
          <w:szCs w:val="28"/>
        </w:rPr>
      </w:pPr>
      <w:r>
        <w:rPr>
          <w:rFonts w:hint="eastAsia" w:cs="宋体" w:asciiTheme="minorEastAsia" w:hAnsiTheme="minorEastAsia"/>
          <w:sz w:val="28"/>
          <w:szCs w:val="28"/>
        </w:rPr>
        <w:t>（四）出让面积(平方米)：2434.51㎡（合3.65亩）</w:t>
      </w:r>
    </w:p>
    <w:p w14:paraId="694EA5D1">
      <w:pPr>
        <w:jc w:val="left"/>
        <w:rPr>
          <w:rStyle w:val="15"/>
          <w:rFonts w:ascii="宋体" w:hAnsi="宋体" w:eastAsia="宋体" w:cs="宋体"/>
          <w:kern w:val="0"/>
          <w:sz w:val="24"/>
          <w:u w:val="none"/>
        </w:rPr>
      </w:pPr>
      <w:r>
        <w:rPr>
          <w:rFonts w:hint="eastAsia" w:cs="宋体" w:asciiTheme="minorEastAsia" w:hAnsiTheme="minorEastAsia"/>
          <w:sz w:val="28"/>
          <w:szCs w:val="28"/>
        </w:rPr>
        <w:t>（五）土地权属来源批复文件：</w:t>
      </w:r>
      <w:r>
        <w:rPr>
          <w:rFonts w:hint="eastAsia" w:cs="仿宋" w:asciiTheme="minorEastAsia" w:hAnsiTheme="minorEastAsia"/>
          <w:sz w:val="28"/>
          <w:szCs w:val="28"/>
        </w:rPr>
        <w:t>沈政文〔2024〕</w:t>
      </w:r>
      <w:r>
        <w:rPr>
          <w:rFonts w:hint="eastAsia" w:cs="仿宋" w:asciiTheme="minorEastAsia" w:hAnsiTheme="minorEastAsia"/>
          <w:sz w:val="28"/>
          <w:szCs w:val="28"/>
          <w:lang w:val="en-US" w:eastAsia="zh-CN"/>
        </w:rPr>
        <w:t>170</w:t>
      </w:r>
      <w:r>
        <w:rPr>
          <w:rFonts w:hint="eastAsia" w:cs="仿宋" w:asciiTheme="minorEastAsia" w:hAnsiTheme="minorEastAsia"/>
          <w:sz w:val="28"/>
          <w:szCs w:val="28"/>
        </w:rPr>
        <w:t>号</w:t>
      </w:r>
      <w:r>
        <w:rPr>
          <w:rFonts w:hint="eastAsia" w:cs="宋体" w:asciiTheme="minorEastAsia" w:hAnsiTheme="minorEastAsia"/>
          <w:sz w:val="28"/>
          <w:szCs w:val="28"/>
        </w:rPr>
        <w:br w:type="textWrapping"/>
      </w:r>
      <w:r>
        <w:rPr>
          <w:rFonts w:hint="eastAsia" w:cs="宋体" w:asciiTheme="minorEastAsia" w:hAnsiTheme="minorEastAsia"/>
          <w:sz w:val="28"/>
          <w:szCs w:val="28"/>
        </w:rPr>
        <w:t>（六）土地估价报告备案号：</w:t>
      </w:r>
      <w:r>
        <w:rPr>
          <w:rFonts w:hint="eastAsia" w:cs="宋体" w:asciiTheme="minorEastAsia" w:hAnsiTheme="minorEastAsia"/>
          <w:kern w:val="0"/>
          <w:sz w:val="28"/>
          <w:szCs w:val="28"/>
        </w:rPr>
        <w:t>4132423BA0028</w:t>
      </w:r>
      <w:r>
        <w:rPr>
          <w:rFonts w:hint="eastAsia" w:cs="宋体" w:asciiTheme="minorEastAsia" w:hAnsiTheme="minorEastAsia"/>
          <w:color w:val="FF0000"/>
          <w:sz w:val="28"/>
          <w:szCs w:val="28"/>
        </w:rPr>
        <w:br w:type="textWrapping"/>
      </w:r>
      <w:r>
        <w:rPr>
          <w:rFonts w:hint="eastAsia" w:cs="宋体" w:asciiTheme="minorEastAsia" w:hAnsiTheme="minorEastAsia"/>
          <w:sz w:val="28"/>
          <w:szCs w:val="28"/>
        </w:rPr>
        <w:t>（七）土地用途：居住(兼容商业）用地</w:t>
      </w:r>
      <w:r>
        <w:rPr>
          <w:rFonts w:hint="eastAsia" w:cs="宋体" w:asciiTheme="minorEastAsia" w:hAnsiTheme="minorEastAsia"/>
          <w:sz w:val="28"/>
          <w:szCs w:val="28"/>
        </w:rPr>
        <w:br w:type="textWrapping"/>
      </w:r>
      <w:r>
        <w:rPr>
          <w:rFonts w:hint="eastAsia" w:cs="宋体" w:asciiTheme="minorEastAsia" w:hAnsiTheme="minorEastAsia"/>
          <w:sz w:val="28"/>
          <w:szCs w:val="28"/>
        </w:rPr>
        <w:t>（八）规划容积率：</w:t>
      </w:r>
      <w:r>
        <w:rPr>
          <w:rStyle w:val="15"/>
          <w:rFonts w:hint="eastAsia" w:cs="宋体" w:asciiTheme="minorEastAsia" w:hAnsiTheme="minorEastAsia"/>
          <w:sz w:val="28"/>
          <w:szCs w:val="28"/>
          <w:u w:val="none"/>
        </w:rPr>
        <w:t>1＜R≤2.0</w:t>
      </w:r>
    </w:p>
    <w:p w14:paraId="3E8FDA10">
      <w:pPr>
        <w:widowControl/>
        <w:spacing w:line="560" w:lineRule="exact"/>
        <w:jc w:val="left"/>
        <w:rPr>
          <w:rFonts w:cs="宋体" w:asciiTheme="minorEastAsia" w:hAnsiTheme="minorEastAsia"/>
          <w:kern w:val="0"/>
          <w:sz w:val="28"/>
          <w:szCs w:val="28"/>
        </w:rPr>
      </w:pPr>
      <w:r>
        <w:rPr>
          <w:rFonts w:hint="eastAsia" w:cs="宋体" w:asciiTheme="minorEastAsia" w:hAnsiTheme="minorEastAsia"/>
          <w:sz w:val="28"/>
          <w:szCs w:val="28"/>
        </w:rPr>
        <w:t xml:space="preserve">（九）规划建筑密度： </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（十）绿地率： </w:t>
      </w:r>
      <w:r>
        <w:rPr>
          <w:rFonts w:hint="eastAsia" w:cs="宋体" w:asciiTheme="minorEastAsia" w:hAnsiTheme="minorEastAsia"/>
          <w:sz w:val="28"/>
          <w:szCs w:val="28"/>
        </w:rPr>
        <w:br w:type="textWrapping"/>
      </w:r>
      <w:r>
        <w:rPr>
          <w:rFonts w:hint="eastAsia" w:cs="宋体" w:asciiTheme="minorEastAsia" w:hAnsiTheme="minorEastAsia"/>
          <w:sz w:val="28"/>
          <w:szCs w:val="28"/>
        </w:rPr>
        <w:t>（十一）土地开发程度：</w:t>
      </w:r>
      <w:r>
        <w:rPr>
          <w:rFonts w:hint="eastAsia" w:cs="宋体" w:asciiTheme="minorEastAsia" w:hAnsiTheme="minorEastAsia"/>
          <w:sz w:val="28"/>
          <w:szCs w:val="28"/>
        </w:rPr>
        <w:br w:type="textWrapping"/>
      </w:r>
      <w:r>
        <w:rPr>
          <w:rFonts w:hint="eastAsia" w:cs="宋体" w:asciiTheme="minorEastAsia" w:hAnsiTheme="minorEastAsia"/>
          <w:sz w:val="28"/>
          <w:szCs w:val="28"/>
        </w:rPr>
        <w:t>（十二）土地使用权出让年期：</w:t>
      </w:r>
      <w:r>
        <w:rPr>
          <w:rStyle w:val="15"/>
          <w:rFonts w:hint="eastAsia" w:cs="宋体" w:asciiTheme="minorEastAsia" w:hAnsiTheme="minorEastAsia"/>
          <w:sz w:val="28"/>
          <w:szCs w:val="28"/>
          <w:u w:val="none"/>
        </w:rPr>
        <w:t>商业40年、住宅70年</w:t>
      </w:r>
      <w:r>
        <w:rPr>
          <w:rFonts w:hint="eastAsia" w:cs="宋体" w:asciiTheme="minorEastAsia" w:hAnsiTheme="minorEastAsia"/>
          <w:sz w:val="28"/>
          <w:szCs w:val="28"/>
        </w:rPr>
        <w:br w:type="textWrapping"/>
      </w:r>
      <w:r>
        <w:rPr>
          <w:rFonts w:hint="eastAsia" w:cs="宋体" w:asciiTheme="minorEastAsia" w:hAnsiTheme="minorEastAsia"/>
          <w:sz w:val="28"/>
          <w:szCs w:val="28"/>
        </w:rPr>
        <w:t>（十三）投资强度（万元）：</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（十四）土地成交价款缴纳方式及时间： </w:t>
      </w:r>
      <w:r>
        <w:rPr>
          <w:rFonts w:hint="eastAsia" w:cs="宋体" w:asciiTheme="minorEastAsia" w:hAnsiTheme="minorEastAsia"/>
          <w:sz w:val="28"/>
          <w:szCs w:val="28"/>
        </w:rPr>
        <w:br w:type="textWrapping"/>
      </w:r>
      <w:r>
        <w:rPr>
          <w:rFonts w:hint="eastAsia" w:cs="宋体" w:asciiTheme="minorEastAsia" w:hAnsiTheme="minorEastAsia"/>
          <w:sz w:val="28"/>
          <w:szCs w:val="28"/>
        </w:rPr>
        <w:t>（十五）依法依规需要说明宗地的其他情况：</w:t>
      </w:r>
    </w:p>
    <w:p w14:paraId="77E42253">
      <w:pPr>
        <w:widowControl/>
        <w:spacing w:line="560" w:lineRule="exact"/>
        <w:jc w:val="left"/>
        <w:rPr>
          <w:rFonts w:hint="eastAsia" w:cs="宋体" w:asciiTheme="minorEastAsia" w:hAnsiTheme="minorEastAsia"/>
          <w:kern w:val="0"/>
          <w:sz w:val="28"/>
          <w:szCs w:val="28"/>
        </w:rPr>
      </w:pPr>
      <w:r>
        <w:rPr>
          <w:rFonts w:hint="eastAsia" w:cs="宋体" w:asciiTheme="minorEastAsia" w:hAnsiTheme="minorEastAsia"/>
          <w:sz w:val="28"/>
          <w:szCs w:val="28"/>
        </w:rPr>
        <w:t>备注：</w:t>
      </w:r>
      <w:r>
        <w:rPr>
          <w:rFonts w:hint="eastAsia" w:cs="宋体" w:asciiTheme="minorEastAsia" w:hAnsiTheme="minorEastAsia"/>
          <w:kern w:val="0"/>
          <w:sz w:val="28"/>
          <w:szCs w:val="28"/>
        </w:rPr>
        <w:t>1、宗地“六通一平"（宗地外通路、通电、通讯、通上水、通下水、通气，宗地内土地平整）。2、县级以上城市规划区及城市规划区外的开发区、工业园区、保税区、重要经济目标区、重点镇等新建（含改建、扩建）民用建筑，应按规定比例修建6级以上防空地下室。3、由辖区政府按时向受让人交付土地。4、宗地内建筑退界应符合所在乡镇规划要求。5、商业建筑面积所占比重≤45%。</w:t>
      </w:r>
    </w:p>
    <w:p w14:paraId="29CD31D6">
      <w:pPr>
        <w:widowControl/>
        <w:spacing w:line="560" w:lineRule="exact"/>
        <w:jc w:val="left"/>
        <w:rPr>
          <w:rFonts w:hint="eastAsia" w:cs="宋体" w:asciiTheme="minorEastAsia" w:hAnsiTheme="minorEastAsia"/>
          <w:kern w:val="0"/>
          <w:sz w:val="28"/>
          <w:szCs w:val="28"/>
        </w:rPr>
      </w:pPr>
    </w:p>
    <w:p w14:paraId="715782C1">
      <w:pPr>
        <w:pStyle w:val="11"/>
        <w:widowControl/>
        <w:spacing w:beforeAutospacing="1" w:afterAutospacing="1"/>
        <w:ind w:firstLine="407" w:firstLineChars="150"/>
      </w:pPr>
      <w:r>
        <w:rPr>
          <w:rFonts w:hint="eastAsia" w:ascii="宋体" w:hAnsi="宋体" w:eastAsia="宋体" w:cs="宋体"/>
        </w:rPr>
        <w:t xml:space="preserve">四、竞买申请条件及要求 </w:t>
      </w:r>
    </w:p>
    <w:p w14:paraId="1D6D72E5">
      <w:pPr>
        <w:pStyle w:val="12"/>
        <w:widowControl/>
        <w:spacing w:beforeAutospacing="1" w:afterAutospacing="1"/>
      </w:pPr>
      <w:r>
        <w:rPr>
          <w:rFonts w:hint="eastAsia" w:ascii="宋体" w:hAnsi="宋体" w:eastAsia="宋体" w:cs="宋体"/>
        </w:rPr>
        <w:t xml:space="preserve">中华人民共和国境内外的法人、自然人和其他组织，符合网上出让公告或出让须知中明确的资格条件，均可申请参加本次国有建设用地使用权网上 拍卖 出让活动。 竞买申请人可以单独申请，也可以联合申请。 </w:t>
      </w:r>
    </w:p>
    <w:p w14:paraId="4E9547BA">
      <w:pPr>
        <w:pStyle w:val="11"/>
        <w:widowControl/>
        <w:spacing w:beforeAutospacing="1" w:afterAutospacing="1"/>
      </w:pPr>
      <w:r>
        <w:rPr>
          <w:rFonts w:hint="eastAsia" w:ascii="宋体" w:hAnsi="宋体" w:eastAsia="宋体" w:cs="宋体"/>
        </w:rPr>
        <w:t xml:space="preserve">五、拍卖 交易及竞买保证金交纳时间 </w:t>
      </w:r>
    </w:p>
    <w:p w14:paraId="5DA58277">
      <w:pPr>
        <w:pStyle w:val="12"/>
        <w:widowControl/>
        <w:spacing w:beforeAutospacing="1" w:afterAutospacing="1"/>
      </w:pPr>
      <w:r>
        <w:rPr>
          <w:rFonts w:hint="eastAsia" w:ascii="宋体" w:hAnsi="宋体" w:eastAsia="宋体" w:cs="宋体"/>
        </w:rPr>
        <w:t>（一）本次 拍卖 交易定于：</w:t>
      </w:r>
      <w:r>
        <w:rPr>
          <w:rStyle w:val="15"/>
          <w:rFonts w:hint="eastAsia" w:ascii="宋体" w:hAnsi="宋体" w:eastAsia="宋体" w:cs="宋体"/>
        </w:rPr>
        <w:t>2024年</w:t>
      </w:r>
      <w:r>
        <w:rPr>
          <w:rStyle w:val="15"/>
          <w:rFonts w:hint="eastAsia" w:ascii="宋体" w:hAnsi="宋体" w:eastAsia="宋体" w:cs="宋体"/>
          <w:lang w:val="en-US" w:eastAsia="zh-CN"/>
        </w:rPr>
        <w:t>10月17日10</w:t>
      </w:r>
      <w:r>
        <w:rPr>
          <w:rStyle w:val="15"/>
          <w:rFonts w:hint="eastAsia" w:ascii="宋体" w:hAnsi="宋体" w:eastAsia="宋体" w:cs="宋体"/>
        </w:rPr>
        <w:t>时</w:t>
      </w:r>
      <w:r>
        <w:rPr>
          <w:rStyle w:val="15"/>
          <w:rFonts w:hint="eastAsia" w:ascii="宋体" w:hAnsi="宋体" w:eastAsia="宋体" w:cs="宋体"/>
          <w:lang w:val="en-US" w:eastAsia="zh-CN"/>
        </w:rPr>
        <w:t>50</w:t>
      </w:r>
      <w:r>
        <w:rPr>
          <w:rStyle w:val="15"/>
          <w:rFonts w:hint="eastAsia" w:ascii="宋体" w:hAnsi="宋体" w:eastAsia="宋体" w:cs="宋体"/>
        </w:rPr>
        <w:t>分</w:t>
      </w:r>
      <w:r>
        <w:rPr>
          <w:rFonts w:hint="eastAsia" w:ascii="宋体" w:hAnsi="宋体" w:eastAsia="宋体" w:cs="宋体"/>
        </w:rPr>
        <w:t xml:space="preserve">在周口市公共资源交易系统（网址：http://jyzx.zhoukou.gov.cn） （以下简称交易系统）进行。 </w:t>
      </w:r>
    </w:p>
    <w:p w14:paraId="59557323">
      <w:pPr>
        <w:pStyle w:val="12"/>
        <w:widowControl/>
        <w:spacing w:beforeAutospacing="1" w:afterAutospacing="1"/>
      </w:pPr>
      <w:r>
        <w:rPr>
          <w:rFonts w:hint="eastAsia" w:ascii="宋体" w:hAnsi="宋体" w:eastAsia="宋体" w:cs="宋体"/>
        </w:rPr>
        <w:t>（二）竞买保证金到账截止时间为：2024年</w:t>
      </w:r>
      <w:r>
        <w:rPr>
          <w:rFonts w:hint="eastAsia" w:ascii="宋体" w:hAnsi="宋体" w:eastAsia="宋体" w:cs="宋体"/>
          <w:lang w:val="en-US" w:eastAsia="zh-CN"/>
        </w:rPr>
        <w:t>10月15日</w:t>
      </w:r>
      <w:r>
        <w:rPr>
          <w:rFonts w:hint="eastAsia" w:ascii="宋体" w:hAnsi="宋体" w:eastAsia="宋体" w:cs="宋体"/>
        </w:rPr>
        <w:t>16时00分。</w:t>
      </w:r>
    </w:p>
    <w:p w14:paraId="45CFFB51">
      <w:pPr>
        <w:pStyle w:val="11"/>
        <w:widowControl/>
        <w:spacing w:beforeAutospacing="1" w:afterAutospacing="1"/>
      </w:pPr>
      <w:r>
        <w:rPr>
          <w:rFonts w:hint="eastAsia" w:ascii="宋体" w:hAnsi="宋体" w:eastAsia="宋体" w:cs="宋体"/>
        </w:rPr>
        <w:t xml:space="preserve">温馨提示：为避免因竞买保证金到账时间延误，影响您顺利获取网上交易竞买资格，建议您在竞买保证金到账截止时间的1至2天之前交纳竞买保证金。 </w:t>
      </w:r>
    </w:p>
    <w:p w14:paraId="70942107">
      <w:pPr>
        <w:pStyle w:val="11"/>
        <w:widowControl/>
        <w:spacing w:beforeAutospacing="1" w:afterAutospacing="1"/>
        <w:rPr>
          <w:rFonts w:ascii="宋体" w:hAnsi="宋体" w:eastAsia="宋体" w:cs="宋体"/>
        </w:rPr>
      </w:pPr>
      <w:r>
        <w:rPr>
          <w:rFonts w:hint="eastAsia" w:ascii="宋体" w:hAnsi="宋体" w:eastAsia="宋体" w:cs="宋体"/>
        </w:rPr>
        <w:t>六、拍卖 交易起始价、竞买保证金、 加价幅度</w:t>
      </w:r>
    </w:p>
    <w:p w14:paraId="13070B7A">
      <w:pPr>
        <w:pStyle w:val="11"/>
        <w:widowControl/>
        <w:spacing w:beforeAutospacing="1" w:afterAutospacing="1"/>
      </w:pPr>
    </w:p>
    <w:tbl>
      <w:tblPr>
        <w:tblStyle w:val="5"/>
        <w:tblW w:w="4900" w:type="pct"/>
        <w:tblInd w:w="0" w:type="dxa"/>
        <w:shd w:val="clear" w:color="auto" w:fill="555555"/>
        <w:tblLayout w:type="autofit"/>
        <w:tblCellMar>
          <w:top w:w="15" w:type="dxa"/>
          <w:left w:w="15" w:type="dxa"/>
          <w:bottom w:w="15" w:type="dxa"/>
          <w:right w:w="15" w:type="dxa"/>
        </w:tblCellMar>
      </w:tblPr>
      <w:tblGrid>
        <w:gridCol w:w="1307"/>
        <w:gridCol w:w="1188"/>
        <w:gridCol w:w="988"/>
        <w:gridCol w:w="1601"/>
        <w:gridCol w:w="1601"/>
        <w:gridCol w:w="1602"/>
      </w:tblGrid>
      <w:tr w14:paraId="03D5D866">
        <w:tblPrEx>
          <w:shd w:val="clear" w:color="auto" w:fill="555555"/>
          <w:tblCellMar>
            <w:top w:w="15" w:type="dxa"/>
            <w:left w:w="15" w:type="dxa"/>
            <w:bottom w:w="15" w:type="dxa"/>
            <w:right w:w="15" w:type="dxa"/>
          </w:tblCellMar>
        </w:tblPrEx>
        <w:tc>
          <w:tcPr>
            <w:tcW w:w="0" w:type="auto"/>
            <w:tcBorders>
              <w:bottom w:val="single" w:color="auto" w:sz="4" w:space="0"/>
              <w:right w:val="single" w:color="555555" w:sz="6" w:space="0"/>
            </w:tcBorders>
            <w:shd w:val="clear" w:color="auto" w:fill="FFFFFF"/>
            <w:tcMar>
              <w:top w:w="75" w:type="dxa"/>
              <w:left w:w="75" w:type="dxa"/>
              <w:bottom w:w="75" w:type="dxa"/>
              <w:right w:w="75" w:type="dxa"/>
            </w:tcMar>
            <w:vAlign w:val="center"/>
          </w:tcPr>
          <w:p w14:paraId="24E1BE02">
            <w:pPr>
              <w:widowControl/>
              <w:jc w:val="center"/>
              <w:rPr>
                <w:b/>
                <w:color w:val="333333"/>
                <w:sz w:val="18"/>
                <w:szCs w:val="18"/>
              </w:rPr>
            </w:pPr>
            <w:r>
              <w:rPr>
                <w:rFonts w:ascii="宋体" w:hAnsi="宋体" w:eastAsia="宋体" w:cs="宋体"/>
                <w:b/>
                <w:color w:val="333333"/>
                <w:kern w:val="0"/>
                <w:sz w:val="18"/>
                <w:szCs w:val="18"/>
              </w:rPr>
              <w:t>地块编号</w:t>
            </w:r>
          </w:p>
        </w:tc>
        <w:tc>
          <w:tcPr>
            <w:tcW w:w="0" w:type="auto"/>
            <w:tcBorders>
              <w:bottom w:val="single" w:color="auto" w:sz="4" w:space="0"/>
              <w:right w:val="single" w:color="555555" w:sz="6" w:space="0"/>
            </w:tcBorders>
            <w:shd w:val="clear" w:color="auto" w:fill="FFFFFF"/>
            <w:tcMar>
              <w:top w:w="75" w:type="dxa"/>
              <w:left w:w="75" w:type="dxa"/>
              <w:bottom w:w="75" w:type="dxa"/>
              <w:right w:w="75" w:type="dxa"/>
            </w:tcMar>
            <w:vAlign w:val="center"/>
          </w:tcPr>
          <w:p w14:paraId="30621D2C">
            <w:pPr>
              <w:widowControl/>
              <w:jc w:val="center"/>
              <w:rPr>
                <w:b/>
                <w:color w:val="333333"/>
                <w:sz w:val="18"/>
                <w:szCs w:val="18"/>
              </w:rPr>
            </w:pPr>
            <w:r>
              <w:rPr>
                <w:rFonts w:ascii="宋体" w:hAnsi="宋体" w:eastAsia="宋体" w:cs="宋体"/>
                <w:b/>
                <w:color w:val="333333"/>
                <w:kern w:val="0"/>
                <w:sz w:val="18"/>
                <w:szCs w:val="18"/>
              </w:rPr>
              <w:t>地块名称</w:t>
            </w:r>
          </w:p>
        </w:tc>
        <w:tc>
          <w:tcPr>
            <w:tcW w:w="0" w:type="auto"/>
            <w:tcBorders>
              <w:bottom w:val="single" w:color="auto" w:sz="4" w:space="0"/>
              <w:right w:val="single" w:color="555555" w:sz="6" w:space="0"/>
            </w:tcBorders>
            <w:shd w:val="clear" w:color="auto" w:fill="FFFFFF"/>
            <w:tcMar>
              <w:top w:w="75" w:type="dxa"/>
              <w:left w:w="75" w:type="dxa"/>
              <w:bottom w:w="75" w:type="dxa"/>
              <w:right w:w="75" w:type="dxa"/>
            </w:tcMar>
            <w:vAlign w:val="center"/>
          </w:tcPr>
          <w:p w14:paraId="13C6C3CC">
            <w:pPr>
              <w:widowControl/>
              <w:jc w:val="center"/>
              <w:rPr>
                <w:b/>
                <w:color w:val="333333"/>
                <w:sz w:val="18"/>
                <w:szCs w:val="18"/>
              </w:rPr>
            </w:pPr>
            <w:r>
              <w:rPr>
                <w:rFonts w:ascii="宋体" w:hAnsi="宋体" w:eastAsia="宋体" w:cs="宋体"/>
                <w:b/>
                <w:color w:val="333333"/>
                <w:kern w:val="0"/>
                <w:sz w:val="18"/>
                <w:szCs w:val="18"/>
              </w:rPr>
              <w:t>报价方式</w:t>
            </w:r>
          </w:p>
        </w:tc>
        <w:tc>
          <w:tcPr>
            <w:tcW w:w="0" w:type="auto"/>
            <w:tcBorders>
              <w:bottom w:val="single" w:color="auto" w:sz="4" w:space="0"/>
              <w:right w:val="single" w:color="555555" w:sz="6" w:space="0"/>
            </w:tcBorders>
            <w:shd w:val="clear" w:color="auto" w:fill="FFFFFF"/>
            <w:tcMar>
              <w:top w:w="75" w:type="dxa"/>
              <w:left w:w="75" w:type="dxa"/>
              <w:bottom w:w="75" w:type="dxa"/>
              <w:right w:w="75" w:type="dxa"/>
            </w:tcMar>
            <w:vAlign w:val="center"/>
          </w:tcPr>
          <w:p w14:paraId="17F67A6D">
            <w:pPr>
              <w:widowControl/>
              <w:jc w:val="center"/>
              <w:rPr>
                <w:b/>
                <w:color w:val="333333"/>
                <w:sz w:val="18"/>
                <w:szCs w:val="18"/>
              </w:rPr>
            </w:pPr>
            <w:r>
              <w:rPr>
                <w:rFonts w:ascii="宋体" w:hAnsi="宋体" w:eastAsia="宋体" w:cs="宋体"/>
                <w:b/>
                <w:color w:val="333333"/>
                <w:kern w:val="0"/>
                <w:sz w:val="18"/>
                <w:szCs w:val="18"/>
              </w:rPr>
              <w:t xml:space="preserve">起始价 </w:t>
            </w:r>
            <w:r>
              <w:rPr>
                <w:rFonts w:ascii="宋体" w:hAnsi="宋体" w:eastAsia="宋体" w:cs="宋体"/>
                <w:b/>
                <w:color w:val="333333"/>
                <w:kern w:val="0"/>
                <w:sz w:val="18"/>
                <w:szCs w:val="18"/>
              </w:rPr>
              <w:br w:type="textWrapping"/>
            </w:r>
            <w:r>
              <w:rPr>
                <w:rFonts w:ascii="宋体" w:hAnsi="宋体" w:eastAsia="宋体" w:cs="宋体"/>
                <w:b/>
                <w:color w:val="333333"/>
                <w:kern w:val="0"/>
                <w:sz w:val="18"/>
                <w:szCs w:val="18"/>
              </w:rPr>
              <w:t>（单位：万元）</w:t>
            </w:r>
          </w:p>
        </w:tc>
        <w:tc>
          <w:tcPr>
            <w:tcW w:w="0" w:type="auto"/>
            <w:tcBorders>
              <w:bottom w:val="single" w:color="auto" w:sz="4" w:space="0"/>
              <w:right w:val="single" w:color="555555" w:sz="6" w:space="0"/>
            </w:tcBorders>
            <w:shd w:val="clear" w:color="auto" w:fill="FFFFFF"/>
            <w:tcMar>
              <w:top w:w="75" w:type="dxa"/>
              <w:left w:w="75" w:type="dxa"/>
              <w:bottom w:w="75" w:type="dxa"/>
              <w:right w:w="75" w:type="dxa"/>
            </w:tcMar>
            <w:vAlign w:val="center"/>
          </w:tcPr>
          <w:p w14:paraId="717DCE99">
            <w:pPr>
              <w:widowControl/>
              <w:jc w:val="center"/>
              <w:rPr>
                <w:b/>
                <w:color w:val="333333"/>
                <w:sz w:val="18"/>
                <w:szCs w:val="18"/>
              </w:rPr>
            </w:pPr>
            <w:r>
              <w:rPr>
                <w:rFonts w:ascii="宋体" w:hAnsi="宋体" w:eastAsia="宋体" w:cs="宋体"/>
                <w:b/>
                <w:color w:val="333333"/>
                <w:kern w:val="0"/>
                <w:sz w:val="18"/>
                <w:szCs w:val="18"/>
              </w:rPr>
              <w:t>竞买保证金</w:t>
            </w:r>
            <w:r>
              <w:rPr>
                <w:rFonts w:ascii="宋体" w:hAnsi="宋体" w:eastAsia="宋体" w:cs="宋体"/>
                <w:b/>
                <w:color w:val="333333"/>
                <w:kern w:val="0"/>
                <w:sz w:val="18"/>
                <w:szCs w:val="18"/>
              </w:rPr>
              <w:br w:type="textWrapping"/>
            </w:r>
            <w:r>
              <w:rPr>
                <w:rFonts w:ascii="宋体" w:hAnsi="宋体" w:eastAsia="宋体" w:cs="宋体"/>
                <w:b/>
                <w:color w:val="333333"/>
                <w:kern w:val="0"/>
                <w:sz w:val="18"/>
                <w:szCs w:val="18"/>
              </w:rPr>
              <w:t>（单位：万元）</w:t>
            </w:r>
          </w:p>
        </w:tc>
        <w:tc>
          <w:tcPr>
            <w:tcW w:w="0" w:type="auto"/>
            <w:tcBorders>
              <w:bottom w:val="single" w:color="auto" w:sz="4" w:space="0"/>
              <w:right w:val="single" w:color="555555" w:sz="6" w:space="0"/>
            </w:tcBorders>
            <w:shd w:val="clear" w:color="auto" w:fill="FFFFFF"/>
            <w:tcMar>
              <w:top w:w="75" w:type="dxa"/>
              <w:left w:w="75" w:type="dxa"/>
              <w:bottom w:w="75" w:type="dxa"/>
              <w:right w:w="75" w:type="dxa"/>
            </w:tcMar>
            <w:vAlign w:val="center"/>
          </w:tcPr>
          <w:p w14:paraId="59557309">
            <w:pPr>
              <w:widowControl/>
              <w:jc w:val="center"/>
              <w:rPr>
                <w:b/>
                <w:color w:val="333333"/>
                <w:sz w:val="18"/>
                <w:szCs w:val="18"/>
              </w:rPr>
            </w:pPr>
            <w:r>
              <w:rPr>
                <w:rFonts w:hint="eastAsia" w:ascii="宋体" w:hAnsi="宋体" w:eastAsia="宋体" w:cs="宋体"/>
                <w:b/>
                <w:color w:val="333333"/>
                <w:kern w:val="0"/>
                <w:sz w:val="18"/>
                <w:szCs w:val="18"/>
              </w:rPr>
              <w:t>加</w:t>
            </w:r>
            <w:r>
              <w:rPr>
                <w:rFonts w:ascii="宋体" w:hAnsi="宋体" w:eastAsia="宋体" w:cs="宋体"/>
                <w:b/>
                <w:color w:val="333333"/>
                <w:kern w:val="0"/>
                <w:sz w:val="18"/>
                <w:szCs w:val="18"/>
              </w:rPr>
              <w:t xml:space="preserve">价幅度  </w:t>
            </w:r>
            <w:r>
              <w:rPr>
                <w:rFonts w:ascii="宋体" w:hAnsi="宋体" w:eastAsia="宋体" w:cs="宋体"/>
                <w:b/>
                <w:color w:val="333333"/>
                <w:kern w:val="0"/>
                <w:sz w:val="18"/>
                <w:szCs w:val="18"/>
              </w:rPr>
              <w:br w:type="textWrapping"/>
            </w:r>
            <w:r>
              <w:rPr>
                <w:rFonts w:ascii="宋体" w:hAnsi="宋体" w:eastAsia="宋体" w:cs="宋体"/>
                <w:b/>
                <w:color w:val="333333"/>
                <w:kern w:val="0"/>
                <w:sz w:val="18"/>
                <w:szCs w:val="18"/>
              </w:rPr>
              <w:t>（单位：万元）</w:t>
            </w:r>
          </w:p>
        </w:tc>
      </w:tr>
      <w:tr w14:paraId="256F7FB3">
        <w:tblPrEx>
          <w:tblCellMar>
            <w:top w:w="15" w:type="dxa"/>
            <w:left w:w="15" w:type="dxa"/>
            <w:bottom w:w="15" w:type="dxa"/>
            <w:right w:w="15" w:type="dxa"/>
          </w:tblCellMar>
        </w:tblPrEx>
        <w:tc>
          <w:tcPr>
            <w:tcW w:w="1307"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050E5C71">
            <w:pPr>
              <w:widowControl/>
              <w:ind w:firstLine="90" w:firstLineChars="50"/>
              <w:rPr>
                <w:rFonts w:hint="eastAsia" w:ascii="宋体" w:hAnsi="宋体" w:eastAsia="宋体" w:cs="宋体"/>
                <w:color w:val="333333"/>
                <w:sz w:val="18"/>
                <w:szCs w:val="18"/>
              </w:rPr>
            </w:pPr>
            <w:r>
              <w:rPr>
                <w:rFonts w:hint="eastAsia" w:ascii="宋体" w:hAnsi="宋体" w:eastAsia="宋体" w:cs="宋体"/>
                <w:color w:val="333333"/>
                <w:sz w:val="18"/>
                <w:szCs w:val="18"/>
              </w:rPr>
              <w:t>SQ2023-149</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7FAA34F7">
            <w:pPr>
              <w:widowControl/>
              <w:jc w:val="center"/>
              <w:rPr>
                <w:rFonts w:hint="eastAsia" w:ascii="宋体" w:hAnsi="宋体" w:eastAsia="宋体" w:cs="宋体"/>
                <w:color w:val="333333"/>
                <w:sz w:val="18"/>
                <w:szCs w:val="18"/>
              </w:rPr>
            </w:pPr>
            <w:r>
              <w:rPr>
                <w:rFonts w:hint="eastAsia" w:ascii="宋体" w:hAnsi="宋体" w:eastAsia="宋体" w:cs="宋体"/>
                <w:color w:val="333333"/>
                <w:sz w:val="18"/>
                <w:szCs w:val="18"/>
              </w:rPr>
              <w:t>SQ2023-149</w:t>
            </w:r>
          </w:p>
        </w:tc>
        <w:tc>
          <w:tcPr>
            <w:tcW w:w="9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14:paraId="34BFDC3A">
            <w:pPr>
              <w:jc w:val="center"/>
              <w:rPr>
                <w:rFonts w:ascii="宋体" w:hAnsi="宋体" w:eastAsia="宋体" w:cs="宋体"/>
                <w:color w:val="333333"/>
                <w:kern w:val="0"/>
                <w:sz w:val="18"/>
                <w:szCs w:val="18"/>
              </w:rPr>
            </w:pPr>
            <w:r>
              <w:rPr>
                <w:rFonts w:ascii="宋体" w:hAnsi="宋体" w:eastAsia="宋体" w:cs="宋体"/>
                <w:color w:val="333333"/>
                <w:kern w:val="0"/>
                <w:sz w:val="18"/>
                <w:szCs w:val="18"/>
              </w:rPr>
              <w:t>按总价</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48D0F34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314</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4179613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w:t>
            </w:r>
          </w:p>
        </w:tc>
        <w:tc>
          <w:tcPr>
            <w:tcW w:w="1602" w:type="dxa"/>
            <w:tcBorders>
              <w:top w:val="single" w:color="auto" w:sz="4" w:space="0"/>
              <w:left w:val="single" w:color="auto" w:sz="4" w:space="0"/>
              <w:bottom w:val="single" w:color="auto" w:sz="4" w:space="0"/>
            </w:tcBorders>
            <w:shd w:val="clear" w:color="auto" w:fill="FFFFFF"/>
            <w:tcMar>
              <w:top w:w="75" w:type="dxa"/>
              <w:left w:w="75" w:type="dxa"/>
              <w:bottom w:w="75" w:type="dxa"/>
              <w:right w:w="75" w:type="dxa"/>
            </w:tcMar>
            <w:vAlign w:val="center"/>
          </w:tcPr>
          <w:p w14:paraId="6EA6F7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 </w:t>
            </w:r>
          </w:p>
        </w:tc>
      </w:tr>
    </w:tbl>
    <w:p w14:paraId="2D0D2DA8">
      <w:pPr>
        <w:pStyle w:val="12"/>
        <w:widowControl/>
        <w:spacing w:beforeAutospacing="1" w:afterAutospacing="1"/>
      </w:pPr>
      <w:r>
        <w:rPr>
          <w:rFonts w:hint="eastAsia" w:ascii="宋体" w:hAnsi="宋体" w:eastAsia="宋体" w:cs="宋体"/>
        </w:rPr>
        <w:t>网上交易竞买保证金币种为人民币，使用美元或者港币交纳竞买保证金的境内或境外竞买申请人，应按</w:t>
      </w:r>
      <w:r>
        <w:rPr>
          <w:rStyle w:val="15"/>
          <w:rFonts w:hint="eastAsia" w:ascii="宋体" w:hAnsi="宋体" w:eastAsia="宋体" w:cs="宋体"/>
          <w:bCs/>
          <w:u w:val="none"/>
        </w:rPr>
        <w:t>竞买</w:t>
      </w:r>
      <w:r>
        <w:rPr>
          <w:rFonts w:hint="eastAsia" w:ascii="宋体" w:hAnsi="宋体" w:eastAsia="宋体" w:cs="宋体"/>
        </w:rPr>
        <w:t xml:space="preserve">保证金交纳当天外汇中间牌价将等值的人民币交入网上交易系统提供的保证金账户。 该账户只接受现汇方式汇入，不接受以现钞方式存入。 </w:t>
      </w:r>
    </w:p>
    <w:p w14:paraId="2C14978D">
      <w:pPr>
        <w:pStyle w:val="11"/>
        <w:widowControl/>
        <w:spacing w:beforeAutospacing="1" w:afterAutospacing="1"/>
      </w:pPr>
      <w:r>
        <w:rPr>
          <w:rFonts w:hint="eastAsia" w:ascii="宋体" w:hAnsi="宋体" w:eastAsia="宋体" w:cs="宋体"/>
        </w:rPr>
        <w:t xml:space="preserve">七、竞买申请 </w:t>
      </w:r>
    </w:p>
    <w:p w14:paraId="6656A3D9">
      <w:pPr>
        <w:pStyle w:val="12"/>
        <w:widowControl/>
        <w:spacing w:beforeAutospacing="1" w:afterAutospacing="1"/>
      </w:pPr>
      <w:r>
        <w:rPr>
          <w:rFonts w:hint="eastAsia" w:ascii="宋体" w:hAnsi="宋体" w:eastAsia="宋体" w:cs="宋体"/>
        </w:rPr>
        <w:t xml:space="preserve">（一）在提交宗地竞买申请之前，竞买申请人应当仔细阅读《河南省国有建设用地使用权网上交易管理办法》、网上交易出让公告、宗地信息、出让须知和其他相关文件。 </w:t>
      </w:r>
    </w:p>
    <w:p w14:paraId="0DC77144">
      <w:pPr>
        <w:pStyle w:val="12"/>
        <w:widowControl/>
        <w:spacing w:beforeAutospacing="1" w:afterAutospacing="1"/>
      </w:pPr>
      <w:r>
        <w:rPr>
          <w:rFonts w:hint="eastAsia" w:ascii="宋体" w:hAnsi="宋体" w:eastAsia="宋体" w:cs="宋体"/>
        </w:rPr>
        <w:t>（二）竞买申请人取得有效数字证书，方能</w:t>
      </w:r>
      <w:r>
        <w:rPr>
          <w:rStyle w:val="15"/>
          <w:rFonts w:hint="eastAsia" w:ascii="宋体" w:hAnsi="宋体" w:eastAsia="宋体" w:cs="宋体"/>
          <w:u w:val="none"/>
        </w:rPr>
        <w:t>参与网上交易竞买活动</w:t>
      </w:r>
      <w:r>
        <w:rPr>
          <w:rFonts w:hint="eastAsia" w:ascii="宋体" w:hAnsi="宋体" w:eastAsia="宋体" w:cs="宋体"/>
        </w:rPr>
        <w:t xml:space="preserve">。 详情请登录网上交易系统网站查看数字证书办理指南。 </w:t>
      </w:r>
    </w:p>
    <w:p w14:paraId="7DBFF086">
      <w:pPr>
        <w:pStyle w:val="12"/>
        <w:widowControl/>
        <w:spacing w:beforeAutospacing="1" w:afterAutospacing="1"/>
        <w:ind w:firstLine="540" w:firstLineChars="200"/>
      </w:pPr>
      <w:r>
        <w:rPr>
          <w:rFonts w:hint="eastAsia" w:ascii="宋体" w:hAnsi="宋体" w:eastAsia="宋体" w:cs="宋体"/>
        </w:rPr>
        <w:t xml:space="preserve">竞买申请人应妥善保管数字证书及其密码，如有遗失或者损毁数字证书、遗忘或者泄露密码的，应及时到原办理机构办理挂失，并重新申领。 竞买申请人登记信息有变化的，应及时到数字证书服务机构进行信息变更。 </w:t>
      </w:r>
    </w:p>
    <w:p w14:paraId="64FDB892">
      <w:pPr>
        <w:pStyle w:val="12"/>
        <w:widowControl/>
        <w:spacing w:beforeAutospacing="1" w:afterAutospacing="1"/>
      </w:pPr>
      <w:r>
        <w:rPr>
          <w:rFonts w:hint="eastAsia" w:ascii="宋体" w:hAnsi="宋体" w:eastAsia="宋体" w:cs="宋体"/>
        </w:rPr>
        <w:t>（三）竞买申请人应在</w:t>
      </w:r>
      <w:r>
        <w:rPr>
          <w:rFonts w:hint="eastAsia" w:ascii="宋体" w:hAnsi="宋体" w:eastAsia="宋体" w:cs="宋体"/>
          <w:u w:val="single"/>
        </w:rPr>
        <w:t>2024年</w:t>
      </w:r>
      <w:r>
        <w:rPr>
          <w:rFonts w:hint="eastAsia" w:ascii="宋体" w:hAnsi="宋体" w:eastAsia="宋体" w:cs="宋体"/>
          <w:u w:val="single"/>
          <w:lang w:val="en-US" w:eastAsia="zh-CN"/>
        </w:rPr>
        <w:t>9月25日至2024年10月15日</w:t>
      </w:r>
      <w:r>
        <w:rPr>
          <w:rFonts w:hint="eastAsia" w:ascii="宋体" w:hAnsi="宋体" w:eastAsia="宋体" w:cs="宋体"/>
        </w:rPr>
        <w:t>前登录网上交易系统，查看网上 拍卖 出让公告、出让须知、现状图及其他出让文件，提交竞买申请。 如对网上交易相关文件及宗地信息有疑问的，可以向</w:t>
      </w:r>
      <w:r>
        <w:rPr>
          <w:rStyle w:val="15"/>
          <w:rFonts w:hint="eastAsia" w:ascii="宋体" w:hAnsi="宋体" w:eastAsia="宋体" w:cs="宋体"/>
        </w:rPr>
        <w:t>沈丘县自然资源局</w:t>
      </w:r>
      <w:r>
        <w:rPr>
          <w:rFonts w:hint="eastAsia" w:ascii="宋体" w:hAnsi="宋体" w:eastAsia="宋体" w:cs="宋体"/>
        </w:rPr>
        <w:t xml:space="preserve">或周口市公共资源交易中心咨询。 此次交易不组织对网上出让地块的现场踏勘，竞买申请人可自行前往现场踏勘。 </w:t>
      </w:r>
    </w:p>
    <w:p w14:paraId="7E589D1F">
      <w:pPr>
        <w:pStyle w:val="12"/>
        <w:widowControl/>
        <w:spacing w:beforeAutospacing="1" w:afterAutospacing="1"/>
      </w:pPr>
      <w:r>
        <w:rPr>
          <w:rFonts w:hint="eastAsia" w:ascii="宋体" w:hAnsi="宋体" w:eastAsia="宋体" w:cs="宋体"/>
        </w:rPr>
        <w:t>（四）竞买申请一经提交，即视为对交易办法、</w:t>
      </w:r>
      <w:r>
        <w:rPr>
          <w:rStyle w:val="15"/>
          <w:rFonts w:hint="eastAsia" w:ascii="宋体" w:hAnsi="宋体" w:eastAsia="宋体" w:cs="宋体"/>
          <w:u w:val="none"/>
        </w:rPr>
        <w:t>出让公告</w:t>
      </w:r>
      <w:r>
        <w:rPr>
          <w:rFonts w:hint="eastAsia" w:ascii="宋体" w:hAnsi="宋体" w:eastAsia="宋体" w:cs="宋体"/>
        </w:rPr>
        <w:t xml:space="preserve">、出让须知、其他相关文件、宗地现状等无异议，并对可能存在的风险完全接受。 </w:t>
      </w:r>
    </w:p>
    <w:p w14:paraId="3BD02403">
      <w:pPr>
        <w:pStyle w:val="12"/>
        <w:widowControl/>
        <w:spacing w:beforeAutospacing="1" w:afterAutospacing="1"/>
      </w:pPr>
      <w:r>
        <w:rPr>
          <w:rFonts w:hint="eastAsia" w:ascii="宋体" w:hAnsi="宋体" w:eastAsia="宋体" w:cs="宋体"/>
        </w:rPr>
        <w:t>（五）土地竞买保证金的交纳</w:t>
      </w:r>
      <w:r>
        <w:rPr>
          <w:rFonts w:hint="eastAsia" w:ascii="宋体" w:hAnsi="宋体" w:eastAsia="宋体" w:cs="宋体"/>
        </w:rPr>
        <w:br w:type="textWrapping"/>
      </w:r>
      <w:r>
        <w:rPr>
          <w:rFonts w:hint="eastAsia" w:ascii="宋体" w:hAnsi="宋体" w:eastAsia="宋体" w:cs="宋体"/>
        </w:rPr>
        <w:t>  ①竞买申请人必须以自身名义交纳土地竞买保证金（交款人（单位）必须与竞买数字证书上的名称保持一致），否则交纳款项无效。</w:t>
      </w:r>
      <w:r>
        <w:rPr>
          <w:rFonts w:hint="eastAsia" w:ascii="宋体" w:hAnsi="宋体" w:eastAsia="宋体" w:cs="宋体"/>
        </w:rPr>
        <w:br w:type="textWrapping"/>
      </w:r>
      <w:r>
        <w:rPr>
          <w:rFonts w:hint="eastAsia" w:ascii="宋体" w:hAnsi="宋体" w:eastAsia="宋体" w:cs="宋体"/>
        </w:rPr>
        <w:t>  ②联合体竞买的，联合单位和被联合单位缴纳保证金必须按照出资比例足额缴纳(例如：单位A占70%，单位B占30%，保证金金额1个亿，单位A需要缴纳保证金7000万元，单位B需要缴纳保证金3000万元)，否则交纳款项无效。</w:t>
      </w:r>
      <w:r>
        <w:rPr>
          <w:rFonts w:hint="eastAsia" w:ascii="宋体" w:hAnsi="宋体" w:eastAsia="宋体" w:cs="宋体"/>
        </w:rPr>
        <w:br w:type="textWrapping"/>
      </w:r>
      <w:r>
        <w:rPr>
          <w:rFonts w:hint="eastAsia" w:ascii="宋体" w:hAnsi="宋体" w:eastAsia="宋体" w:cs="宋体"/>
        </w:rPr>
        <w:t xml:space="preserve">  ③竞买申请人在网上交易系统提交竞买申请后，网上交易系统会自动生成唯一的随机竞买保证金子账号。 竞买申请人在规定时间内，将竞买保证金交入随机生成的保证金子账号。 每次提交竞买申请及交纳竞买保证金只对应一宗地块，竞买多宗地块的，应分别提交申请并按时足额交纳竞买保证金。 </w:t>
      </w:r>
    </w:p>
    <w:p w14:paraId="7124DFE8">
      <w:pPr>
        <w:pStyle w:val="12"/>
        <w:widowControl/>
        <w:spacing w:beforeAutospacing="1" w:afterAutospacing="1"/>
      </w:pPr>
      <w:r>
        <w:rPr>
          <w:rFonts w:hint="eastAsia" w:ascii="宋体" w:hAnsi="宋体" w:eastAsia="宋体" w:cs="宋体"/>
        </w:rPr>
        <w:t xml:space="preserve">（六）竞买申请人在规定时间内足额交纳了竞买保证金至指定账户的（保证金到账时间以交易系统服务器时间为准），竞买申请人可以在交易系统上自行查询，确认其竞买资格。竞买申请人没有按时足额交纳竞买保证金的，不能获得竞买资格。 </w:t>
      </w:r>
    </w:p>
    <w:p w14:paraId="61C0B27A">
      <w:pPr>
        <w:pStyle w:val="12"/>
        <w:widowControl/>
        <w:spacing w:beforeAutospacing="1" w:afterAutospacing="1"/>
      </w:pPr>
      <w:r>
        <w:rPr>
          <w:rFonts w:hint="eastAsia" w:ascii="宋体" w:hAnsi="宋体" w:eastAsia="宋体" w:cs="宋体"/>
        </w:rPr>
        <w:t xml:space="preserve">（七）法人、自然人和其他组织进行联合竞买的，应当按要求如实填报联合竞买各方的出资比例及相关信息，并明确签订《国有建设用地使用权出让合同》的受让人。 </w:t>
      </w:r>
    </w:p>
    <w:p w14:paraId="50C9E9C7">
      <w:pPr>
        <w:pStyle w:val="11"/>
        <w:widowControl/>
        <w:spacing w:beforeAutospacing="1" w:afterAutospacing="1"/>
        <w:ind w:firstLine="542" w:firstLineChars="200"/>
      </w:pPr>
      <w:r>
        <w:rPr>
          <w:rFonts w:hint="eastAsia" w:ascii="宋体" w:hAnsi="宋体" w:eastAsia="宋体" w:cs="宋体"/>
        </w:rPr>
        <w:t xml:space="preserve">八、拍卖 报价（竞价） </w:t>
      </w:r>
    </w:p>
    <w:p w14:paraId="4946DD0E">
      <w:pPr>
        <w:pStyle w:val="12"/>
        <w:widowControl/>
        <w:spacing w:beforeAutospacing="1" w:afterAutospacing="1"/>
      </w:pPr>
      <w:r>
        <w:rPr>
          <w:rFonts w:hint="eastAsia" w:ascii="宋体" w:hAnsi="宋体" w:eastAsia="宋体" w:cs="宋体"/>
        </w:rPr>
        <w:t>（一）获得竞买资格的竞买人通过交易系统进行 拍卖 报价（竞价）。SQ2023-149号宗地初次报价不得低于3</w:t>
      </w:r>
      <w:r>
        <w:rPr>
          <w:rFonts w:hint="eastAsia" w:ascii="宋体" w:hAnsi="宋体" w:eastAsia="宋体" w:cs="宋体"/>
          <w:lang w:val="en-US" w:eastAsia="zh-CN"/>
        </w:rPr>
        <w:t>14</w:t>
      </w:r>
      <w:r>
        <w:rPr>
          <w:rFonts w:hint="eastAsia" w:ascii="宋体" w:hAnsi="宋体" w:eastAsia="宋体" w:cs="宋体"/>
        </w:rPr>
        <w:t xml:space="preserve">万元 ，报价以增价方式进行，每次加价幅度为7万元 </w:t>
      </w:r>
      <w:r>
        <w:rPr>
          <w:rStyle w:val="15"/>
          <w:rFonts w:hint="eastAsia" w:ascii="宋体" w:hAnsi="宋体" w:eastAsia="宋体" w:cs="宋体"/>
        </w:rPr>
        <w:t>或其整数倍</w:t>
      </w:r>
      <w:r>
        <w:rPr>
          <w:rFonts w:hint="eastAsia" w:ascii="宋体" w:hAnsi="宋体" w:eastAsia="宋体" w:cs="宋体"/>
        </w:rPr>
        <w:t xml:space="preserve">。报价期内，可多次报价。符合条件的报价，网上交易系统予以接受并公布。 </w:t>
      </w:r>
    </w:p>
    <w:p w14:paraId="08FFCBB2">
      <w:pPr>
        <w:pStyle w:val="12"/>
        <w:widowControl/>
        <w:spacing w:beforeAutospacing="1" w:afterAutospacing="1"/>
      </w:pPr>
      <w:r>
        <w:rPr>
          <w:rFonts w:hint="eastAsia" w:ascii="宋体" w:hAnsi="宋体" w:eastAsia="宋体" w:cs="宋体"/>
        </w:rPr>
        <w:t xml:space="preserve">（二）竞买人应当谨慎报价，报价一经提交，不得修改或撤回。 </w:t>
      </w:r>
    </w:p>
    <w:p w14:paraId="4F2D3281">
      <w:pPr>
        <w:pStyle w:val="12"/>
        <w:widowControl/>
        <w:spacing w:beforeAutospacing="1" w:afterAutospacing="1"/>
      </w:pPr>
      <w:r>
        <w:rPr>
          <w:rFonts w:hint="eastAsia" w:ascii="宋体" w:hAnsi="宋体" w:eastAsia="宋体" w:cs="宋体"/>
        </w:rPr>
        <w:t xml:space="preserve">（三）网上限时竞价 </w:t>
      </w:r>
    </w:p>
    <w:p w14:paraId="7698E5D3">
      <w:pPr>
        <w:pStyle w:val="12"/>
        <w:widowControl/>
        <w:spacing w:beforeAutospacing="1" w:afterAutospacing="1"/>
      </w:pPr>
      <w:r>
        <w:rPr>
          <w:rFonts w:hint="eastAsia" w:ascii="宋体" w:hAnsi="宋体" w:eastAsia="宋体" w:cs="宋体"/>
        </w:rPr>
        <w:t xml:space="preserve">1、已取得竞买资格的竞买人，可参加网上限时竞价； </w:t>
      </w:r>
    </w:p>
    <w:p w14:paraId="4AC04716">
      <w:pPr>
        <w:pStyle w:val="12"/>
        <w:widowControl/>
        <w:spacing w:beforeAutospacing="1" w:afterAutospacing="1"/>
      </w:pPr>
      <w:r>
        <w:rPr>
          <w:rFonts w:hint="eastAsia" w:ascii="宋体" w:hAnsi="宋体" w:eastAsia="宋体" w:cs="宋体"/>
        </w:rPr>
        <w:t>2、网上拍卖开始时，交易系统以4分钟倒计时为竞价时限，如在4分钟倒计时内有新的报价，交易系统即从接受新的报价起再重新倒计时。 4分钟倒计时</w:t>
      </w:r>
      <w:r>
        <w:rPr>
          <w:rStyle w:val="15"/>
          <w:rFonts w:hint="eastAsia" w:ascii="宋体" w:hAnsi="宋体" w:eastAsia="宋体" w:cs="宋体"/>
          <w:u w:val="none"/>
        </w:rPr>
        <w:t>截止</w:t>
      </w:r>
      <w:r>
        <w:rPr>
          <w:rFonts w:hint="eastAsia" w:ascii="宋体" w:hAnsi="宋体" w:eastAsia="宋体" w:cs="宋体"/>
        </w:rPr>
        <w:t>，交易系统将不再接受新的报价。 以最后一次报价为最高报价，交易系统自动判断</w:t>
      </w:r>
      <w:r>
        <w:rPr>
          <w:rStyle w:val="15"/>
          <w:rFonts w:hint="eastAsia" w:ascii="宋体" w:hAnsi="宋体" w:eastAsia="宋体" w:cs="宋体"/>
          <w:u w:val="none"/>
        </w:rPr>
        <w:t>竞价</w:t>
      </w:r>
      <w:r>
        <w:rPr>
          <w:rFonts w:hint="eastAsia" w:ascii="宋体" w:hAnsi="宋体" w:eastAsia="宋体" w:cs="宋体"/>
        </w:rPr>
        <w:t xml:space="preserve">是否成功。 </w:t>
      </w:r>
    </w:p>
    <w:p w14:paraId="7021D537">
      <w:pPr>
        <w:pStyle w:val="12"/>
        <w:widowControl/>
        <w:spacing w:beforeAutospacing="1" w:afterAutospacing="1"/>
      </w:pPr>
      <w:r>
        <w:rPr>
          <w:rFonts w:hint="eastAsia" w:ascii="宋体" w:hAnsi="宋体" w:eastAsia="宋体" w:cs="宋体"/>
        </w:rPr>
        <w:t xml:space="preserve">3、网上限时竞价截止时，按下列规定确定竞得入选人： </w:t>
      </w:r>
    </w:p>
    <w:p w14:paraId="7850BD44">
      <w:pPr>
        <w:pStyle w:val="12"/>
        <w:widowControl/>
        <w:spacing w:beforeAutospacing="1" w:afterAutospacing="1"/>
      </w:pPr>
      <w:r>
        <w:rPr>
          <w:rFonts w:hint="eastAsia" w:ascii="宋体" w:hAnsi="宋体" w:eastAsia="宋体" w:cs="宋体"/>
        </w:rPr>
        <w:t xml:space="preserve">（1）地块如果未设底价的，报价最高者即为竞得入选人。 </w:t>
      </w:r>
    </w:p>
    <w:p w14:paraId="0EB7132F">
      <w:pPr>
        <w:pStyle w:val="12"/>
        <w:widowControl/>
        <w:spacing w:beforeAutospacing="1" w:afterAutospacing="1"/>
      </w:pPr>
      <w:r>
        <w:rPr>
          <w:rFonts w:hint="eastAsia" w:ascii="宋体" w:hAnsi="宋体" w:eastAsia="宋体" w:cs="宋体"/>
        </w:rPr>
        <w:t>（2）地块如果设有底价的，报价最高且不低于底价者即为竞得入选人。报价低于底价的，拍卖不成交。</w:t>
      </w:r>
    </w:p>
    <w:p w14:paraId="02BC0F2A">
      <w:pPr>
        <w:pStyle w:val="12"/>
        <w:widowControl/>
        <w:spacing w:beforeAutospacing="1" w:afterAutospacing="1"/>
      </w:pPr>
      <w:r>
        <w:rPr>
          <w:rFonts w:hint="eastAsia" w:ascii="宋体" w:hAnsi="宋体" w:eastAsia="宋体" w:cs="宋体"/>
        </w:rPr>
        <w:t>（3）拍卖开始后，第一次4分钟倒计时内，无人报价，该次倒计时结束时，网上拍卖终止，拍卖不成交。</w:t>
      </w:r>
    </w:p>
    <w:p w14:paraId="3407C6E4">
      <w:pPr>
        <w:pStyle w:val="12"/>
        <w:widowControl/>
        <w:spacing w:beforeAutospacing="1" w:afterAutospacing="1"/>
      </w:pPr>
      <w:r>
        <w:rPr>
          <w:rFonts w:hint="eastAsia" w:ascii="宋体" w:hAnsi="宋体" w:eastAsia="宋体" w:cs="宋体"/>
        </w:rPr>
        <w:t>网上拍卖 报价、限时竞价截止时，交易系统将自动关闭报价通道，并</w:t>
      </w:r>
      <w:r>
        <w:rPr>
          <w:rStyle w:val="15"/>
          <w:rFonts w:hint="eastAsia" w:ascii="宋体" w:hAnsi="宋体" w:eastAsia="宋体" w:cs="宋体"/>
          <w:u w:val="none"/>
        </w:rPr>
        <w:t>公布竞价结果</w:t>
      </w:r>
      <w:r>
        <w:rPr>
          <w:rFonts w:hint="eastAsia" w:ascii="宋体" w:hAnsi="宋体" w:eastAsia="宋体" w:cs="宋体"/>
        </w:rPr>
        <w:t xml:space="preserve">。 </w:t>
      </w:r>
    </w:p>
    <w:p w14:paraId="664038C7">
      <w:pPr>
        <w:pStyle w:val="11"/>
        <w:widowControl/>
        <w:spacing w:beforeAutospacing="1" w:afterAutospacing="1"/>
      </w:pPr>
      <w:r>
        <w:rPr>
          <w:rFonts w:hint="eastAsia" w:ascii="宋体" w:hAnsi="宋体" w:eastAsia="宋体" w:cs="宋体"/>
        </w:rPr>
        <w:t xml:space="preserve">九、资格审查、成交确认及合同签订 </w:t>
      </w:r>
    </w:p>
    <w:p w14:paraId="36D11E4D">
      <w:pPr>
        <w:pStyle w:val="12"/>
        <w:widowControl/>
        <w:spacing w:beforeAutospacing="1" w:afterAutospacing="1"/>
      </w:pPr>
      <w:r>
        <w:rPr>
          <w:rFonts w:hint="eastAsia" w:ascii="宋体" w:hAnsi="宋体" w:eastAsia="宋体" w:cs="宋体"/>
        </w:rPr>
        <w:t xml:space="preserve">（一）竞得入选人资格审查 </w:t>
      </w:r>
    </w:p>
    <w:p w14:paraId="23CB3FD7">
      <w:pPr>
        <w:pStyle w:val="12"/>
        <w:widowControl/>
        <w:spacing w:beforeAutospacing="1" w:afterAutospacing="1"/>
      </w:pPr>
      <w:r>
        <w:rPr>
          <w:rFonts w:hint="eastAsia" w:ascii="宋体" w:hAnsi="宋体" w:eastAsia="宋体" w:cs="宋体"/>
        </w:rPr>
        <w:t>网上交易前不对竞买申请人进行资格审查。竞得入选人须在网上交易结束后3个工作日内，持以下资料到</w:t>
      </w:r>
      <w:r>
        <w:rPr>
          <w:rFonts w:hint="eastAsia" w:ascii="宋体" w:hAnsi="宋体" w:eastAsia="宋体" w:cs="宋体"/>
          <w:u w:val="single"/>
        </w:rPr>
        <w:t>沈丘县自然资源局</w:t>
      </w:r>
      <w:r>
        <w:rPr>
          <w:rFonts w:hint="eastAsia" w:ascii="宋体" w:hAnsi="宋体" w:eastAsia="宋体" w:cs="宋体"/>
        </w:rPr>
        <w:t xml:space="preserve">进行资格审查。 </w:t>
      </w:r>
    </w:p>
    <w:p w14:paraId="27D2449B">
      <w:pPr>
        <w:pStyle w:val="12"/>
        <w:widowControl/>
        <w:spacing w:beforeAutospacing="1" w:afterAutospacing="1"/>
      </w:pPr>
      <w:r>
        <w:rPr>
          <w:rFonts w:hint="eastAsia" w:ascii="宋体" w:hAnsi="宋体" w:eastAsia="宋体" w:cs="宋体"/>
        </w:rPr>
        <w:t xml:space="preserve">1、企业法人竞得的，应提交下列文件： </w:t>
      </w:r>
    </w:p>
    <w:p w14:paraId="313DA102">
      <w:pPr>
        <w:pStyle w:val="12"/>
        <w:widowControl/>
        <w:spacing w:beforeAutospacing="1" w:afterAutospacing="1"/>
      </w:pPr>
      <w:r>
        <w:rPr>
          <w:rFonts w:hint="eastAsia" w:ascii="宋体" w:hAnsi="宋体" w:eastAsia="宋体" w:cs="宋体"/>
        </w:rPr>
        <w:t xml:space="preserve">（1）企业营业执照副本（复印件）； </w:t>
      </w:r>
    </w:p>
    <w:p w14:paraId="4104BAAB">
      <w:pPr>
        <w:pStyle w:val="12"/>
        <w:widowControl/>
        <w:spacing w:beforeAutospacing="1" w:afterAutospacing="1"/>
      </w:pPr>
      <w:r>
        <w:rPr>
          <w:rFonts w:hint="eastAsia" w:ascii="宋体" w:hAnsi="宋体" w:eastAsia="宋体" w:cs="宋体"/>
        </w:rPr>
        <w:t xml:space="preserve">（2）法定代表人的有效身份证明文件(含法人代表证书或法人单位盖章的证明材料,法定代表人个人身份证明等)； </w:t>
      </w:r>
    </w:p>
    <w:p w14:paraId="4C08D8B5">
      <w:pPr>
        <w:pStyle w:val="12"/>
        <w:widowControl/>
        <w:spacing w:beforeAutospacing="1" w:afterAutospacing="1"/>
      </w:pPr>
      <w:r>
        <w:rPr>
          <w:rFonts w:hint="eastAsia" w:ascii="宋体" w:hAnsi="宋体" w:eastAsia="宋体" w:cs="宋体"/>
        </w:rPr>
        <w:t xml:space="preserve">（3）竞得入选人委托他人办理的，应提交授权委托书及委托代理人的有效身份证明文件； </w:t>
      </w:r>
    </w:p>
    <w:p w14:paraId="3C78199D">
      <w:pPr>
        <w:pStyle w:val="12"/>
        <w:widowControl/>
        <w:spacing w:beforeAutospacing="1" w:afterAutospacing="1"/>
        <w:rPr>
          <w:rFonts w:ascii="宋体" w:hAnsi="宋体" w:eastAsia="宋体" w:cs="宋体"/>
        </w:rPr>
      </w:pPr>
      <w:r>
        <w:rPr>
          <w:rFonts w:hint="eastAsia" w:ascii="宋体" w:hAnsi="宋体" w:eastAsia="宋体" w:cs="宋体"/>
        </w:rPr>
        <w:t xml:space="preserve">（4）竞得入选人在线打印的《国有土地使用权竞买申请书》、《国有土地使用权拍卖出让竞买资格确认书》和《国有土地使用权竞得入选通知书》 </w:t>
      </w:r>
    </w:p>
    <w:p w14:paraId="0319DD76">
      <w:pPr>
        <w:pStyle w:val="12"/>
        <w:widowControl/>
        <w:spacing w:beforeAutospacing="1" w:afterAutospacing="1"/>
        <w:ind w:firstLine="540" w:firstLineChars="200"/>
        <w:rPr>
          <w:rFonts w:ascii="宋体" w:hAnsi="宋体" w:eastAsia="宋体" w:cs="宋体"/>
        </w:rPr>
      </w:pPr>
      <w:r>
        <w:rPr>
          <w:rFonts w:hint="eastAsia" w:ascii="宋体" w:hAnsi="宋体" w:eastAsia="宋体" w:cs="宋体"/>
        </w:rPr>
        <w:t>2、自然人竞得的，应提交下列文件：</w:t>
      </w:r>
    </w:p>
    <w:p w14:paraId="69FCA4B4">
      <w:pPr>
        <w:pStyle w:val="12"/>
        <w:widowControl/>
        <w:spacing w:beforeAutospacing="1" w:afterAutospacing="1"/>
      </w:pPr>
      <w:r>
        <w:rPr>
          <w:rFonts w:hint="eastAsia" w:ascii="宋体" w:hAnsi="宋体" w:eastAsia="宋体" w:cs="宋体"/>
        </w:rPr>
        <w:t xml:space="preserve">（1）竞得入选人有效身份证明文件； </w:t>
      </w:r>
    </w:p>
    <w:p w14:paraId="43C0D483">
      <w:pPr>
        <w:pStyle w:val="12"/>
        <w:widowControl/>
        <w:spacing w:beforeAutospacing="1" w:afterAutospacing="1"/>
      </w:pPr>
      <w:r>
        <w:rPr>
          <w:rFonts w:hint="eastAsia" w:ascii="宋体" w:hAnsi="宋体" w:eastAsia="宋体" w:cs="宋体"/>
        </w:rPr>
        <w:t xml:space="preserve">（2）竞得入选人委托他人办理的，须提交授权委托书及委托代理人的有效身份证明文件； </w:t>
      </w:r>
    </w:p>
    <w:p w14:paraId="0457523E">
      <w:pPr>
        <w:pStyle w:val="12"/>
        <w:widowControl/>
        <w:spacing w:beforeAutospacing="1" w:afterAutospacing="1"/>
      </w:pPr>
      <w:r>
        <w:rPr>
          <w:rFonts w:hint="eastAsia" w:ascii="宋体" w:hAnsi="宋体" w:eastAsia="宋体" w:cs="宋体"/>
        </w:rPr>
        <w:t xml:space="preserve">（3）竞得入选人在线打印网上交易系统自动生成的《国有土地使用权竞买申请书》、《国有土地使用权拍卖出让竞买资格确认书》和《国有土地使用权竞得入选通知书》。 </w:t>
      </w:r>
    </w:p>
    <w:p w14:paraId="6747A41D">
      <w:pPr>
        <w:pStyle w:val="12"/>
        <w:widowControl/>
        <w:spacing w:beforeAutospacing="1" w:afterAutospacing="1"/>
        <w:ind w:firstLine="540" w:firstLineChars="200"/>
      </w:pPr>
      <w:r>
        <w:rPr>
          <w:rFonts w:hint="eastAsia" w:ascii="宋体" w:hAnsi="宋体" w:eastAsia="宋体" w:cs="宋体"/>
        </w:rPr>
        <w:t xml:space="preserve">3、其他组织竞得的，应提交下列文件： </w:t>
      </w:r>
    </w:p>
    <w:p w14:paraId="2503C0BE">
      <w:pPr>
        <w:pStyle w:val="12"/>
        <w:widowControl/>
        <w:spacing w:beforeAutospacing="1" w:afterAutospacing="1"/>
      </w:pPr>
      <w:r>
        <w:rPr>
          <w:rFonts w:hint="eastAsia" w:ascii="宋体" w:hAnsi="宋体" w:eastAsia="宋体" w:cs="宋体"/>
        </w:rPr>
        <w:t xml:space="preserve">（1）表明该组织合法存在的文件或有效证明； </w:t>
      </w:r>
    </w:p>
    <w:p w14:paraId="6F8A0C0D">
      <w:pPr>
        <w:pStyle w:val="12"/>
        <w:widowControl/>
        <w:spacing w:beforeAutospacing="1" w:afterAutospacing="1"/>
      </w:pPr>
      <w:r>
        <w:rPr>
          <w:rFonts w:hint="eastAsia" w:ascii="宋体" w:hAnsi="宋体" w:eastAsia="宋体" w:cs="宋体"/>
        </w:rPr>
        <w:t xml:space="preserve">（2）组织机构代码证书副本（复印件）； </w:t>
      </w:r>
    </w:p>
    <w:p w14:paraId="534D3A34">
      <w:pPr>
        <w:pStyle w:val="12"/>
        <w:widowControl/>
        <w:spacing w:beforeAutospacing="1" w:afterAutospacing="1"/>
      </w:pPr>
      <w:r>
        <w:rPr>
          <w:rFonts w:hint="eastAsia" w:ascii="宋体" w:hAnsi="宋体" w:eastAsia="宋体" w:cs="宋体"/>
        </w:rPr>
        <w:t xml:space="preserve">（3）表明该组织负责人身份的有效证明文件； </w:t>
      </w:r>
    </w:p>
    <w:p w14:paraId="6931CF49">
      <w:pPr>
        <w:pStyle w:val="12"/>
        <w:widowControl/>
        <w:spacing w:beforeAutospacing="1" w:afterAutospacing="1"/>
      </w:pPr>
      <w:r>
        <w:rPr>
          <w:rFonts w:hint="eastAsia" w:ascii="宋体" w:hAnsi="宋体" w:eastAsia="宋体" w:cs="宋体"/>
        </w:rPr>
        <w:t xml:space="preserve">（4）竞得入选人委托他人办理的，须提交授权委托书及委托代理人的有效身份证明文件； </w:t>
      </w:r>
    </w:p>
    <w:p w14:paraId="2FDFBC25">
      <w:pPr>
        <w:pStyle w:val="12"/>
        <w:widowControl/>
        <w:spacing w:beforeAutospacing="1" w:afterAutospacing="1"/>
      </w:pPr>
      <w:r>
        <w:rPr>
          <w:rFonts w:hint="eastAsia" w:ascii="宋体" w:hAnsi="宋体" w:eastAsia="宋体" w:cs="宋体"/>
        </w:rPr>
        <w:t xml:space="preserve">（5）竞得入选人在线打印的《国有土地使用权竞买申请书》、《国有土地使用权拍卖出让竞买资格确认书》和《国有土地使用权竞得入选通知书》 </w:t>
      </w:r>
    </w:p>
    <w:p w14:paraId="200F0633">
      <w:pPr>
        <w:pStyle w:val="12"/>
        <w:widowControl/>
        <w:spacing w:beforeAutospacing="1" w:afterAutospacing="1"/>
        <w:ind w:firstLine="540" w:firstLineChars="200"/>
        <w:rPr>
          <w:rFonts w:ascii="宋体" w:hAnsi="宋体" w:eastAsia="宋体" w:cs="宋体"/>
        </w:rPr>
      </w:pPr>
      <w:r>
        <w:rPr>
          <w:rFonts w:hint="eastAsia" w:ascii="宋体" w:hAnsi="宋体" w:eastAsia="宋体" w:cs="宋体"/>
        </w:rPr>
        <w:t>4、境外竞买申请人竞得的，应提交下列文件：</w:t>
      </w:r>
    </w:p>
    <w:p w14:paraId="47E8B578">
      <w:pPr>
        <w:pStyle w:val="12"/>
        <w:widowControl/>
        <w:spacing w:beforeAutospacing="1" w:afterAutospacing="1"/>
      </w:pPr>
      <w:r>
        <w:rPr>
          <w:rFonts w:hint="eastAsia" w:ascii="宋体" w:hAnsi="宋体" w:eastAsia="宋体" w:cs="宋体"/>
        </w:rPr>
        <w:t xml:space="preserve">（1）境外法人、自然人、其他组织的有效身份证明文件经公证、认证的副本； </w:t>
      </w:r>
    </w:p>
    <w:p w14:paraId="2E528DBD">
      <w:pPr>
        <w:pStyle w:val="12"/>
        <w:widowControl/>
        <w:spacing w:beforeAutospacing="1" w:afterAutospacing="1"/>
      </w:pPr>
      <w:r>
        <w:rPr>
          <w:rFonts w:hint="eastAsia" w:ascii="宋体" w:hAnsi="宋体" w:eastAsia="宋体" w:cs="宋体"/>
        </w:rPr>
        <w:t xml:space="preserve">（2）竞得入选人委托他人办理的，须提交授权委托书及委托代理人的有效身份证明文件； </w:t>
      </w:r>
    </w:p>
    <w:p w14:paraId="77FF5423">
      <w:pPr>
        <w:pStyle w:val="12"/>
        <w:widowControl/>
        <w:spacing w:beforeAutospacing="1" w:afterAutospacing="1"/>
        <w:rPr>
          <w:rFonts w:ascii="宋体" w:hAnsi="宋体" w:eastAsia="宋体" w:cs="宋体"/>
        </w:rPr>
      </w:pPr>
      <w:r>
        <w:rPr>
          <w:rFonts w:hint="eastAsia" w:ascii="宋体" w:hAnsi="宋体" w:eastAsia="宋体" w:cs="宋体"/>
        </w:rPr>
        <w:t>（3）竞得入选人在线打印的《国有土地使用权竞买申请书》、《国有土地使用权拍卖出让竞买资格确认书》和《国有土地使用权竞得入选通知书》</w:t>
      </w:r>
    </w:p>
    <w:p w14:paraId="2A7ECBDF">
      <w:pPr>
        <w:pStyle w:val="12"/>
        <w:widowControl/>
        <w:spacing w:beforeAutospacing="1" w:afterAutospacing="1"/>
        <w:ind w:firstLine="540" w:firstLineChars="200"/>
      </w:pPr>
      <w:r>
        <w:rPr>
          <w:rFonts w:hint="eastAsia" w:ascii="宋体" w:hAnsi="宋体" w:eastAsia="宋体" w:cs="宋体"/>
        </w:rPr>
        <w:t xml:space="preserve">5、联合竞得的，应提交下列文件： </w:t>
      </w:r>
    </w:p>
    <w:p w14:paraId="20D21CAA">
      <w:pPr>
        <w:pStyle w:val="12"/>
        <w:widowControl/>
        <w:spacing w:beforeAutospacing="1" w:afterAutospacing="1"/>
      </w:pPr>
      <w:r>
        <w:rPr>
          <w:rFonts w:hint="eastAsia" w:ascii="宋体" w:hAnsi="宋体" w:eastAsia="宋体" w:cs="宋体"/>
        </w:rPr>
        <w:t xml:space="preserve">（1）联合竞买各方的有效身份证明文件； </w:t>
      </w:r>
    </w:p>
    <w:p w14:paraId="45885132">
      <w:pPr>
        <w:pStyle w:val="12"/>
        <w:widowControl/>
        <w:spacing w:beforeAutospacing="1" w:afterAutospacing="1"/>
      </w:pPr>
      <w:r>
        <w:rPr>
          <w:rFonts w:hint="eastAsia" w:ascii="宋体" w:hAnsi="宋体" w:eastAsia="宋体" w:cs="宋体"/>
        </w:rPr>
        <w:t xml:space="preserve">（2）联合竞买协议，协议要规定联合各方的权利、义务，并明确签订《国有建设用地使用权出让合同》时的受让人（各项内容须与在交易系统上申购时提交的内容一致）； </w:t>
      </w:r>
    </w:p>
    <w:p w14:paraId="09E5F873">
      <w:pPr>
        <w:pStyle w:val="12"/>
        <w:widowControl/>
        <w:spacing w:beforeAutospacing="1" w:afterAutospacing="1"/>
      </w:pPr>
      <w:r>
        <w:rPr>
          <w:rFonts w:hint="eastAsia" w:ascii="宋体" w:hAnsi="宋体" w:eastAsia="宋体" w:cs="宋体"/>
        </w:rPr>
        <w:t xml:space="preserve">（3）竞得入选人委托他人办理成交后续手续的，须提交授权委托书及委托代理人的有效身份证明文件； </w:t>
      </w:r>
    </w:p>
    <w:p w14:paraId="7520CA42">
      <w:pPr>
        <w:pStyle w:val="12"/>
        <w:widowControl/>
        <w:spacing w:beforeAutospacing="1" w:afterAutospacing="1"/>
        <w:rPr>
          <w:rFonts w:ascii="宋体" w:hAnsi="宋体" w:eastAsia="宋体" w:cs="宋体"/>
        </w:rPr>
      </w:pPr>
      <w:r>
        <w:rPr>
          <w:rFonts w:hint="eastAsia" w:ascii="宋体" w:hAnsi="宋体" w:eastAsia="宋体" w:cs="宋体"/>
        </w:rPr>
        <w:t>（4）竞得入选人在线打印的《国有土地使用权竞买申请书》、《国有土地使用权拍卖出让竞买资格确认书》和《国有土地使用权竞得入选通知书》。</w:t>
      </w:r>
    </w:p>
    <w:p w14:paraId="174B6B74">
      <w:pPr>
        <w:pStyle w:val="12"/>
        <w:widowControl/>
        <w:spacing w:beforeAutospacing="1" w:afterAutospacing="1"/>
        <w:ind w:firstLine="540" w:firstLineChars="200"/>
      </w:pPr>
      <w:r>
        <w:rPr>
          <w:rFonts w:hint="eastAsia" w:ascii="宋体" w:hAnsi="宋体" w:eastAsia="宋体" w:cs="宋体"/>
        </w:rPr>
        <w:t xml:space="preserve">属房地产开发用地的，还应提交竞买保证金不属于银行贷款、股东借款、转贷和募集资金的承诺书及商业金融机构的资信证明。 </w:t>
      </w:r>
    </w:p>
    <w:p w14:paraId="610B91BC">
      <w:pPr>
        <w:pStyle w:val="12"/>
        <w:widowControl/>
        <w:spacing w:beforeAutospacing="1" w:afterAutospacing="1"/>
        <w:ind w:firstLine="540" w:firstLineChars="200"/>
      </w:pPr>
      <w:r>
        <w:rPr>
          <w:rFonts w:hint="eastAsia" w:ascii="宋体" w:hAnsi="宋体" w:eastAsia="宋体" w:cs="宋体"/>
        </w:rPr>
        <w:t xml:space="preserve">上述文件为复印件的，应在复印件上注明“与原件一致”并加盖竞买申请人公章，同时提交原件核实。 </w:t>
      </w:r>
    </w:p>
    <w:p w14:paraId="463AEFCF">
      <w:pPr>
        <w:pStyle w:val="12"/>
        <w:widowControl/>
        <w:spacing w:beforeAutospacing="1" w:afterAutospacing="1"/>
        <w:ind w:firstLine="540" w:firstLineChars="200"/>
      </w:pPr>
      <w:r>
        <w:rPr>
          <w:rFonts w:hint="eastAsia" w:ascii="宋体" w:hAnsi="宋体" w:eastAsia="宋体" w:cs="宋体"/>
        </w:rPr>
        <w:t xml:space="preserve">有下列情形之一的，视为资格审查不能通过，竞得结果无效，该竞买人的竞买保证金不予退还，造成损失的，应当依法承担赔偿责任： </w:t>
      </w:r>
    </w:p>
    <w:p w14:paraId="5DA93B4E">
      <w:pPr>
        <w:pStyle w:val="12"/>
        <w:widowControl/>
        <w:spacing w:beforeAutospacing="1" w:afterAutospacing="1"/>
      </w:pPr>
      <w:r>
        <w:rPr>
          <w:rFonts w:hint="eastAsia" w:ascii="宋体" w:hAnsi="宋体" w:eastAsia="宋体" w:cs="宋体"/>
        </w:rPr>
        <w:t xml:space="preserve">1．竞得入选人不符合竞买资格要求的； </w:t>
      </w:r>
    </w:p>
    <w:p w14:paraId="13AAE99D">
      <w:pPr>
        <w:pStyle w:val="12"/>
        <w:widowControl/>
        <w:spacing w:beforeAutospacing="1" w:afterAutospacing="1"/>
      </w:pPr>
      <w:r>
        <w:rPr>
          <w:rFonts w:hint="eastAsia" w:ascii="宋体" w:hAnsi="宋体" w:eastAsia="宋体" w:cs="宋体"/>
        </w:rPr>
        <w:t xml:space="preserve">2．提交核对的文件资料不齐全或不符合规定的； </w:t>
      </w:r>
    </w:p>
    <w:p w14:paraId="55881E11">
      <w:pPr>
        <w:pStyle w:val="12"/>
        <w:widowControl/>
        <w:spacing w:beforeAutospacing="1" w:afterAutospacing="1"/>
      </w:pPr>
      <w:r>
        <w:rPr>
          <w:rFonts w:hint="eastAsia" w:ascii="宋体" w:hAnsi="宋体" w:eastAsia="宋体" w:cs="宋体"/>
        </w:rPr>
        <w:t xml:space="preserve">3．法律法规规定的其它情形。 </w:t>
      </w:r>
    </w:p>
    <w:p w14:paraId="6463E6E2">
      <w:pPr>
        <w:pStyle w:val="12"/>
        <w:widowControl/>
        <w:spacing w:beforeAutospacing="1" w:afterAutospacing="1"/>
      </w:pPr>
      <w:r>
        <w:rPr>
          <w:rFonts w:hint="eastAsia" w:ascii="宋体" w:hAnsi="宋体" w:eastAsia="宋体" w:cs="宋体"/>
        </w:rPr>
        <w:t xml:space="preserve">（二）签订《成交确认书》 </w:t>
      </w:r>
    </w:p>
    <w:p w14:paraId="697B02D6">
      <w:pPr>
        <w:pStyle w:val="12"/>
        <w:widowControl/>
        <w:spacing w:beforeAutospacing="1" w:afterAutospacing="1"/>
        <w:ind w:firstLine="540" w:firstLineChars="200"/>
        <w:rPr>
          <w:rFonts w:ascii="宋体" w:hAnsi="宋体" w:eastAsia="宋体" w:cs="宋体"/>
        </w:rPr>
      </w:pPr>
      <w:r>
        <w:rPr>
          <w:rFonts w:hint="eastAsia" w:ascii="宋体" w:hAnsi="宋体" w:eastAsia="宋体" w:cs="宋体"/>
        </w:rPr>
        <w:t>竞得入选人在规定时间提交上述资料并经</w:t>
      </w:r>
      <w:r>
        <w:rPr>
          <w:rStyle w:val="15"/>
          <w:rFonts w:hint="eastAsia" w:ascii="宋体" w:hAnsi="宋体" w:eastAsia="宋体" w:cs="宋体"/>
        </w:rPr>
        <w:t>沈丘县自然资源局</w:t>
      </w:r>
      <w:r>
        <w:rPr>
          <w:rFonts w:hint="eastAsia" w:ascii="宋体" w:hAnsi="宋体" w:eastAsia="宋体" w:cs="宋体"/>
        </w:rPr>
        <w:t>审查符合竞买资格的，</w:t>
      </w:r>
      <w:r>
        <w:rPr>
          <w:rStyle w:val="15"/>
          <w:rFonts w:hint="eastAsia" w:ascii="宋体" w:hAnsi="宋体" w:eastAsia="宋体" w:cs="宋体"/>
        </w:rPr>
        <w:t>沈丘县自然资源局</w:t>
      </w:r>
      <w:r>
        <w:rPr>
          <w:rFonts w:hint="eastAsia" w:ascii="宋体" w:hAnsi="宋体" w:eastAsia="宋体" w:cs="宋体"/>
        </w:rPr>
        <w:t xml:space="preserve">与竞得人签订《成交确认书》。 竞得入选人委托他人代签的，应提交法定代表人亲笔签名并盖章的授权委托书。 </w:t>
      </w:r>
    </w:p>
    <w:p w14:paraId="02F3EA6A">
      <w:pPr>
        <w:pStyle w:val="12"/>
        <w:widowControl/>
        <w:spacing w:beforeAutospacing="1" w:afterAutospacing="1"/>
      </w:pPr>
      <w:r>
        <w:rPr>
          <w:rFonts w:hint="eastAsia" w:ascii="宋体" w:hAnsi="宋体" w:eastAsia="宋体" w:cs="宋体"/>
        </w:rPr>
        <w:t xml:space="preserve">（三）签订《国有建设用地使用权出让合同》。 </w:t>
      </w:r>
    </w:p>
    <w:p w14:paraId="787E1639">
      <w:pPr>
        <w:pStyle w:val="12"/>
        <w:widowControl/>
        <w:spacing w:beforeAutospacing="1" w:afterAutospacing="1"/>
      </w:pPr>
      <w:r>
        <w:rPr>
          <w:rFonts w:hint="eastAsia" w:ascii="宋体" w:hAnsi="宋体" w:eastAsia="宋体" w:cs="宋体"/>
        </w:rPr>
        <w:t>竞得人持签订的《成交确认书》，在约定的期限内与</w:t>
      </w:r>
      <w:r>
        <w:rPr>
          <w:rStyle w:val="15"/>
          <w:rFonts w:hint="eastAsia" w:ascii="宋体" w:hAnsi="宋体" w:eastAsia="宋体" w:cs="宋体"/>
        </w:rPr>
        <w:t>沈丘县自然资源局</w:t>
      </w:r>
      <w:r>
        <w:rPr>
          <w:rFonts w:hint="eastAsia" w:ascii="宋体" w:hAnsi="宋体" w:eastAsia="宋体" w:cs="宋体"/>
        </w:rPr>
        <w:t xml:space="preserve">签订《国有建设用地使用权出让合同》。 </w:t>
      </w:r>
    </w:p>
    <w:p w14:paraId="040F99B5">
      <w:pPr>
        <w:pStyle w:val="11"/>
        <w:widowControl/>
        <w:spacing w:beforeAutospacing="1" w:afterAutospacing="1"/>
      </w:pPr>
      <w:r>
        <w:rPr>
          <w:rFonts w:hint="eastAsia" w:ascii="宋体" w:hAnsi="宋体" w:eastAsia="宋体" w:cs="宋体"/>
        </w:rPr>
        <w:t xml:space="preserve">十、出让结果公示 </w:t>
      </w:r>
    </w:p>
    <w:p w14:paraId="7F7F3DC3">
      <w:pPr>
        <w:pStyle w:val="12"/>
        <w:widowControl/>
        <w:spacing w:beforeAutospacing="1" w:afterAutospacing="1"/>
        <w:ind w:firstLine="540" w:firstLineChars="200"/>
      </w:pPr>
      <w:r>
        <w:rPr>
          <w:rStyle w:val="15"/>
          <w:rFonts w:hint="eastAsia" w:ascii="宋体" w:hAnsi="宋体" w:eastAsia="宋体" w:cs="宋体"/>
        </w:rPr>
        <w:t>沈丘县自然资源局</w:t>
      </w:r>
      <w:r>
        <w:rPr>
          <w:rFonts w:hint="eastAsia" w:ascii="宋体" w:hAnsi="宋体" w:eastAsia="宋体" w:cs="宋体"/>
        </w:rPr>
        <w:t xml:space="preserve">将在本次国有建设用地使用权网上拍卖 出让活动结束后10个工作日内， 在中国土地市场网、周口市公共资源交易系统（http://jyzx.zhoukou.gov.cn）向社会公布本次国有建设用地使用权网上拍卖 出让结果。 </w:t>
      </w:r>
    </w:p>
    <w:p w14:paraId="3C7DF0A7">
      <w:pPr>
        <w:pStyle w:val="11"/>
        <w:widowControl/>
        <w:spacing w:beforeAutospacing="1" w:afterAutospacing="1"/>
      </w:pPr>
      <w:r>
        <w:rPr>
          <w:rFonts w:hint="eastAsia" w:ascii="宋体" w:hAnsi="宋体" w:eastAsia="宋体" w:cs="宋体"/>
        </w:rPr>
        <w:t xml:space="preserve">十一、拍卖中止或终止 </w:t>
      </w:r>
    </w:p>
    <w:p w14:paraId="30A2096F">
      <w:pPr>
        <w:pStyle w:val="12"/>
        <w:widowControl/>
        <w:spacing w:beforeAutospacing="1" w:afterAutospacing="1"/>
        <w:ind w:firstLine="540" w:firstLineChars="200"/>
      </w:pPr>
      <w:r>
        <w:rPr>
          <w:rFonts w:hint="eastAsia" w:ascii="宋体" w:hAnsi="宋体" w:eastAsia="宋体" w:cs="宋体"/>
        </w:rPr>
        <w:t>有下列情形之一的，</w:t>
      </w:r>
      <w:r>
        <w:rPr>
          <w:rStyle w:val="15"/>
          <w:rFonts w:hint="eastAsia" w:ascii="宋体" w:hAnsi="宋体" w:eastAsia="宋体" w:cs="宋体"/>
        </w:rPr>
        <w:t>沈丘县自然资源局</w:t>
      </w:r>
      <w:r>
        <w:rPr>
          <w:rFonts w:hint="eastAsia" w:ascii="宋体" w:hAnsi="宋体" w:eastAsia="宋体" w:cs="宋体"/>
        </w:rPr>
        <w:t xml:space="preserve">将发布中止或者终止网上交易公告，并中止或者终止网上交易活动: </w:t>
      </w:r>
    </w:p>
    <w:p w14:paraId="7C160FCD">
      <w:pPr>
        <w:pStyle w:val="12"/>
        <w:widowControl/>
        <w:spacing w:beforeAutospacing="1" w:afterAutospacing="1"/>
      </w:pPr>
      <w:r>
        <w:rPr>
          <w:rFonts w:hint="eastAsia" w:ascii="宋体" w:hAnsi="宋体" w:eastAsia="宋体" w:cs="宋体"/>
        </w:rPr>
        <w:t xml:space="preserve">（一）司法机关、监察机关依法要求中止或者终止网上交易活动的; </w:t>
      </w:r>
    </w:p>
    <w:p w14:paraId="0ADDDA3D">
      <w:pPr>
        <w:pStyle w:val="12"/>
        <w:widowControl/>
        <w:spacing w:beforeAutospacing="1" w:afterAutospacing="1"/>
      </w:pPr>
      <w:r>
        <w:rPr>
          <w:rFonts w:hint="eastAsia" w:ascii="宋体" w:hAnsi="宋体" w:eastAsia="宋体" w:cs="宋体"/>
        </w:rPr>
        <w:t xml:space="preserve">（二）因相关政策、宗地规划条件等发生变化，对土地使用权有重大影响的； </w:t>
      </w:r>
    </w:p>
    <w:p w14:paraId="5F1CF584">
      <w:pPr>
        <w:pStyle w:val="12"/>
        <w:widowControl/>
        <w:spacing w:beforeAutospacing="1" w:afterAutospacing="1"/>
      </w:pPr>
      <w:r>
        <w:rPr>
          <w:rFonts w:hint="eastAsia" w:ascii="宋体" w:hAnsi="宋体" w:eastAsia="宋体" w:cs="宋体"/>
        </w:rPr>
        <w:t xml:space="preserve">（三）交易系统软、硬件故障，交易系统网络专线故障，网上交易CA认证系统故障，代理银行保证金交纳系统故障以及不可抗力因素等，导致交易系统不能正常运行的； </w:t>
      </w:r>
    </w:p>
    <w:p w14:paraId="414CBB83">
      <w:pPr>
        <w:pStyle w:val="12"/>
        <w:widowControl/>
        <w:spacing w:beforeAutospacing="1" w:afterAutospacing="1"/>
      </w:pPr>
      <w:r>
        <w:rPr>
          <w:rFonts w:hint="eastAsia" w:ascii="宋体" w:hAnsi="宋体" w:eastAsia="宋体" w:cs="宋体"/>
        </w:rPr>
        <w:t xml:space="preserve">（四）因网络入侵等非可控因素，导致交易系统不能正常运行的； </w:t>
      </w:r>
    </w:p>
    <w:p w14:paraId="004F6EB4">
      <w:pPr>
        <w:pStyle w:val="12"/>
        <w:widowControl/>
        <w:spacing w:beforeAutospacing="1" w:afterAutospacing="1"/>
      </w:pPr>
      <w:r>
        <w:rPr>
          <w:rFonts w:hint="eastAsia" w:ascii="宋体" w:hAnsi="宋体" w:eastAsia="宋体" w:cs="宋体"/>
        </w:rPr>
        <w:t xml:space="preserve">（五）依法应当中止或者终止网上交易活动的其他情形。 </w:t>
      </w:r>
      <w:r>
        <w:rPr>
          <w:rStyle w:val="15"/>
          <w:rFonts w:hint="eastAsia" w:ascii="宋体" w:hAnsi="宋体" w:eastAsia="宋体" w:cs="宋体"/>
          <w:u w:val="none"/>
        </w:rPr>
        <w:t>网上交易中止时间超过</w:t>
      </w:r>
      <w:r>
        <w:rPr>
          <w:rStyle w:val="16"/>
          <w:rFonts w:hint="eastAsia" w:ascii="宋体" w:hAnsi="宋体" w:eastAsia="宋体" w:cs="宋体"/>
        </w:rPr>
        <w:t>5</w:t>
      </w:r>
      <w:r>
        <w:rPr>
          <w:rStyle w:val="15"/>
          <w:rFonts w:hint="eastAsia" w:ascii="宋体" w:hAnsi="宋体" w:eastAsia="宋体" w:cs="宋体"/>
          <w:u w:val="none"/>
        </w:rPr>
        <w:t>日内不能恢复交易的，该项交易自动终止。 竞买人交纳的竞买保证金全额</w:t>
      </w:r>
      <w:r>
        <w:rPr>
          <w:rStyle w:val="16"/>
          <w:rFonts w:hint="eastAsia" w:ascii="宋体" w:hAnsi="宋体" w:eastAsia="宋体" w:cs="宋体"/>
        </w:rPr>
        <w:t>无息</w:t>
      </w:r>
      <w:r>
        <w:rPr>
          <w:rStyle w:val="15"/>
          <w:rFonts w:hint="eastAsia" w:ascii="宋体" w:hAnsi="宋体" w:eastAsia="宋体" w:cs="宋体"/>
          <w:u w:val="none"/>
        </w:rPr>
        <w:t>退还</w:t>
      </w:r>
      <w:r>
        <w:rPr>
          <w:rFonts w:hint="eastAsia" w:ascii="宋体" w:hAnsi="宋体" w:eastAsia="宋体" w:cs="宋体"/>
        </w:rPr>
        <w:t>。 网上交易中止事项消除后，</w:t>
      </w:r>
      <w:r>
        <w:rPr>
          <w:rStyle w:val="15"/>
          <w:rFonts w:hint="eastAsia" w:ascii="宋体" w:hAnsi="宋体" w:eastAsia="宋体" w:cs="宋体"/>
        </w:rPr>
        <w:t>沈丘县自然资源局</w:t>
      </w:r>
      <w:r>
        <w:rPr>
          <w:rFonts w:hint="eastAsia" w:ascii="宋体" w:hAnsi="宋体" w:eastAsia="宋体" w:cs="宋体"/>
        </w:rPr>
        <w:t xml:space="preserve">将及时在交易系统发布恢复网上交易公告，重新明确交易时间，恢复网上交易。 交易中止前已取得竞买资格的，其竞买资格在本次交易期内（含中止交易期及恢复交易后）有效。 </w:t>
      </w:r>
    </w:p>
    <w:p w14:paraId="3441B6D5">
      <w:pPr>
        <w:pStyle w:val="11"/>
        <w:widowControl/>
        <w:spacing w:beforeAutospacing="1" w:afterAutospacing="1"/>
      </w:pPr>
      <w:r>
        <w:rPr>
          <w:rFonts w:hint="eastAsia" w:ascii="宋体" w:hAnsi="宋体" w:eastAsia="宋体" w:cs="宋体"/>
        </w:rPr>
        <w:t xml:space="preserve">十二、注意事项 </w:t>
      </w:r>
    </w:p>
    <w:p w14:paraId="5391B153">
      <w:pPr>
        <w:pStyle w:val="12"/>
        <w:widowControl/>
        <w:spacing w:beforeAutospacing="1" w:afterAutospacing="1"/>
      </w:pPr>
      <w:r>
        <w:rPr>
          <w:rFonts w:hint="eastAsia" w:ascii="宋体" w:hAnsi="宋体" w:eastAsia="宋体" w:cs="宋体"/>
        </w:rPr>
        <w:t>（一）出让地块未作地下工程勘查，如遇有各类管线、不良地质以及电力、通信设施设备迁移等情况均由竞得人按有关规定处理并支付相关费用，</w:t>
      </w:r>
      <w:r>
        <w:rPr>
          <w:rStyle w:val="15"/>
          <w:rFonts w:hint="eastAsia" w:ascii="宋体" w:hAnsi="宋体" w:eastAsia="宋体" w:cs="宋体"/>
        </w:rPr>
        <w:t>沈丘县自然资源局</w:t>
      </w:r>
      <w:r>
        <w:rPr>
          <w:rFonts w:hint="eastAsia" w:ascii="宋体" w:hAnsi="宋体" w:eastAsia="宋体" w:cs="宋体"/>
        </w:rPr>
        <w:t xml:space="preserve">和交易中心不承担责任。 </w:t>
      </w:r>
    </w:p>
    <w:p w14:paraId="3D686A2B">
      <w:pPr>
        <w:pStyle w:val="12"/>
        <w:widowControl/>
        <w:spacing w:beforeAutospacing="1" w:afterAutospacing="1"/>
        <w:rPr>
          <w:rFonts w:ascii="宋体" w:hAnsi="宋体" w:eastAsia="宋体" w:cs="宋体"/>
        </w:rPr>
      </w:pPr>
      <w:r>
        <w:rPr>
          <w:rFonts w:hint="eastAsia" w:ascii="宋体" w:hAnsi="宋体" w:eastAsia="宋体" w:cs="宋体"/>
        </w:rPr>
        <w:t xml:space="preserve">（二）竞买申请人或竞买人网上交易行为所产生的法律后果，由竞买申请人或竞买人自行承担。 </w:t>
      </w:r>
    </w:p>
    <w:p w14:paraId="62E3EF5D">
      <w:pPr>
        <w:pStyle w:val="12"/>
        <w:widowControl/>
        <w:spacing w:beforeAutospacing="1" w:afterAutospacing="1"/>
      </w:pPr>
      <w:r>
        <w:rPr>
          <w:rFonts w:hint="eastAsia" w:ascii="宋体" w:hAnsi="宋体" w:eastAsia="宋体" w:cs="宋体"/>
        </w:rPr>
        <w:t>（三）《成交确认书》对出让人和竞得入选人具有同等法律效力，出让人擅自改变</w:t>
      </w:r>
      <w:r>
        <w:rPr>
          <w:rStyle w:val="15"/>
          <w:rFonts w:hint="eastAsia" w:ascii="宋体" w:hAnsi="宋体" w:eastAsia="宋体" w:cs="宋体"/>
          <w:u w:val="none"/>
        </w:rPr>
        <w:t>竞得</w:t>
      </w:r>
      <w:r>
        <w:rPr>
          <w:rFonts w:hint="eastAsia" w:ascii="宋体" w:hAnsi="宋体" w:eastAsia="宋体" w:cs="宋体"/>
        </w:rPr>
        <w:t>结果， 或者</w:t>
      </w:r>
      <w:r>
        <w:rPr>
          <w:rStyle w:val="15"/>
          <w:rFonts w:hint="eastAsia" w:ascii="宋体" w:hAnsi="宋体" w:eastAsia="宋体" w:cs="宋体"/>
          <w:u w:val="none"/>
        </w:rPr>
        <w:t>竞得入选人</w:t>
      </w:r>
      <w:r>
        <w:rPr>
          <w:rFonts w:hint="eastAsia" w:ascii="宋体" w:hAnsi="宋体" w:eastAsia="宋体" w:cs="宋体"/>
        </w:rPr>
        <w:t>放弃竞得</w:t>
      </w:r>
      <w:r>
        <w:rPr>
          <w:rStyle w:val="15"/>
          <w:rFonts w:hint="eastAsia" w:ascii="宋体" w:hAnsi="宋体" w:eastAsia="宋体" w:cs="宋体"/>
          <w:u w:val="none"/>
        </w:rPr>
        <w:t>结果</w:t>
      </w:r>
      <w:r>
        <w:rPr>
          <w:rFonts w:hint="eastAsia" w:ascii="宋体" w:hAnsi="宋体" w:eastAsia="宋体" w:cs="宋体"/>
        </w:rPr>
        <w:t xml:space="preserve">的， 应当承担相应违规违约及法律责任。 </w:t>
      </w:r>
    </w:p>
    <w:p w14:paraId="65C0618A">
      <w:pPr>
        <w:pStyle w:val="12"/>
        <w:widowControl/>
        <w:spacing w:beforeAutospacing="1" w:afterAutospacing="1"/>
        <w:ind w:firstLine="540" w:firstLineChars="200"/>
      </w:pPr>
      <w:r>
        <w:rPr>
          <w:rFonts w:hint="eastAsia" w:ascii="宋体" w:hAnsi="宋体" w:eastAsia="宋体" w:cs="宋体"/>
        </w:rPr>
        <w:t xml:space="preserve">(四)竞买申请人竞得宗地后，拟成立新公司进行开发建设的，需在申请时选择成立新公司选项，并在申请书中明确新公司的出资构成、成立时间等内容。 </w:t>
      </w:r>
    </w:p>
    <w:p w14:paraId="5FB03B4E">
      <w:pPr>
        <w:pStyle w:val="12"/>
        <w:widowControl/>
        <w:spacing w:beforeAutospacing="1" w:afterAutospacing="1"/>
        <w:ind w:firstLine="540" w:firstLineChars="200"/>
      </w:pPr>
      <w:r>
        <w:rPr>
          <w:rFonts w:hint="eastAsia" w:ascii="宋体" w:hAnsi="宋体" w:eastAsia="宋体" w:cs="宋体"/>
        </w:rPr>
        <w:t>（五）竞买人竞得宗地后，</w:t>
      </w:r>
      <w:r>
        <w:rPr>
          <w:rStyle w:val="15"/>
          <w:rFonts w:hint="eastAsia" w:ascii="宋体" w:hAnsi="宋体" w:eastAsia="宋体" w:cs="宋体"/>
        </w:rPr>
        <w:t>沈丘县自然资源局</w:t>
      </w:r>
      <w:r>
        <w:rPr>
          <w:rFonts w:hint="eastAsia" w:ascii="宋体" w:hAnsi="宋体" w:eastAsia="宋体" w:cs="宋体"/>
        </w:rPr>
        <w:t>将与竞得人签订《国有建设用地使用权出让合同》，在竞得人按约定办理完新公司注册登记手续后，再与新公司签订《国有建设用地使用权出让合同变更协议》。或竞买人在规定时间内，办理完新公司注册登记手续后，</w:t>
      </w:r>
      <w:r>
        <w:rPr>
          <w:rStyle w:val="15"/>
          <w:rFonts w:hint="eastAsia" w:ascii="宋体" w:hAnsi="宋体" w:eastAsia="宋体" w:cs="宋体"/>
        </w:rPr>
        <w:t>沈丘县自然资源局</w:t>
      </w:r>
      <w:r>
        <w:rPr>
          <w:rFonts w:hint="eastAsia" w:ascii="宋体" w:hAnsi="宋体" w:eastAsia="宋体" w:cs="宋体"/>
        </w:rPr>
        <w:t xml:space="preserve">同意直接与新公司签订《国有建设用地使用权出让合同》。 </w:t>
      </w:r>
    </w:p>
    <w:p w14:paraId="0BB146A5">
      <w:pPr>
        <w:pStyle w:val="12"/>
        <w:widowControl/>
        <w:spacing w:beforeAutospacing="1" w:afterAutospacing="1"/>
      </w:pPr>
      <w:r>
        <w:rPr>
          <w:rFonts w:hint="eastAsia" w:ascii="宋体" w:hAnsi="宋体" w:eastAsia="宋体" w:cs="宋体"/>
        </w:rPr>
        <w:t xml:space="preserve">（六）竞得人使用人民币交纳的竞买保证金，在签订《国有建设用地使用权出让合同》后，竞得人持《国有建设用地使用权出让合同》及银行交款凭证到交易中心，交易中心2个工作日内将竞得人的保证金转作国有土地使用权出让金。未竞得人交纳的竞买保证金，交易中心在拍卖活动结束之日后5个工作日内予以退还，不计利息。 </w:t>
      </w:r>
    </w:p>
    <w:p w14:paraId="271F4B10">
      <w:pPr>
        <w:pStyle w:val="12"/>
        <w:widowControl/>
        <w:spacing w:beforeAutospacing="1" w:afterAutospacing="1"/>
      </w:pPr>
      <w:r>
        <w:rPr>
          <w:rFonts w:hint="eastAsia" w:ascii="宋体" w:hAnsi="宋体" w:eastAsia="宋体" w:cs="宋体"/>
        </w:rPr>
        <w:t xml:space="preserve">（七）网上交易过程所涉及时间均以交易系统服务器时间为准， 数据记录时间以数据信息到达交易系统服务器的时间为依据。 </w:t>
      </w:r>
    </w:p>
    <w:p w14:paraId="46615BB7">
      <w:pPr>
        <w:pStyle w:val="12"/>
        <w:widowControl/>
        <w:spacing w:beforeAutospacing="1" w:afterAutospacing="1"/>
      </w:pPr>
      <w:r>
        <w:rPr>
          <w:rFonts w:hint="eastAsia" w:ascii="宋体" w:hAnsi="宋体" w:eastAsia="宋体" w:cs="宋体"/>
        </w:rPr>
        <w:t xml:space="preserve">（八）竞得人签订《国有建设用地使用权出让合同》，缴清全部土地出让金后，应依法申请办理土地登记手续，领取《国有建设用地使用权证》。未按出让合同约定缴清全部土地出让价款的，不得发放国有建设用地使用权证书，也不得按出让价款缴纳比例分割发放国有建设用地使用权证书。 </w:t>
      </w:r>
    </w:p>
    <w:p w14:paraId="51DE3FED">
      <w:pPr>
        <w:pStyle w:val="12"/>
        <w:widowControl/>
        <w:spacing w:beforeAutospacing="1" w:afterAutospacing="1"/>
      </w:pPr>
      <w:r>
        <w:rPr>
          <w:rFonts w:hint="eastAsia" w:ascii="宋体" w:hAnsi="宋体" w:eastAsia="宋体" w:cs="宋体"/>
        </w:rPr>
        <w:t xml:space="preserve">（九）存在下列违法违规违约行为，在结案和问题查处整改到位前，竞买人及其控股股东不得参加土地竞买活动。 </w:t>
      </w:r>
    </w:p>
    <w:p w14:paraId="7F7471EA">
      <w:pPr>
        <w:pStyle w:val="12"/>
        <w:widowControl/>
        <w:spacing w:beforeAutospacing="1" w:afterAutospacing="1"/>
      </w:pPr>
      <w:r>
        <w:rPr>
          <w:rFonts w:hint="eastAsia" w:ascii="宋体" w:hAnsi="宋体" w:eastAsia="宋体" w:cs="宋体"/>
        </w:rPr>
        <w:t xml:space="preserve">1、伪造公文骗取用地和非法倒卖土地等犯罪行为的； </w:t>
      </w:r>
    </w:p>
    <w:p w14:paraId="5742D3D0">
      <w:pPr>
        <w:pStyle w:val="12"/>
        <w:widowControl/>
        <w:spacing w:beforeAutospacing="1" w:afterAutospacing="1"/>
      </w:pPr>
      <w:r>
        <w:rPr>
          <w:rFonts w:hint="eastAsia" w:ascii="宋体" w:hAnsi="宋体" w:eastAsia="宋体" w:cs="宋体"/>
        </w:rPr>
        <w:t xml:space="preserve">2、非法转让土地使用权等违法行为的； </w:t>
      </w:r>
    </w:p>
    <w:p w14:paraId="7AA4962F">
      <w:pPr>
        <w:pStyle w:val="12"/>
        <w:widowControl/>
        <w:spacing w:beforeAutospacing="1" w:afterAutospacing="1"/>
      </w:pPr>
      <w:r>
        <w:rPr>
          <w:rFonts w:hint="eastAsia" w:ascii="宋体" w:hAnsi="宋体" w:eastAsia="宋体" w:cs="宋体"/>
        </w:rPr>
        <w:t xml:space="preserve">3、因企业原因造成土地闲置一年以上的； </w:t>
      </w:r>
    </w:p>
    <w:p w14:paraId="5B9AF23A">
      <w:pPr>
        <w:pStyle w:val="12"/>
        <w:widowControl/>
        <w:spacing w:beforeAutospacing="1" w:afterAutospacing="1"/>
      </w:pPr>
      <w:r>
        <w:rPr>
          <w:rFonts w:hint="eastAsia" w:ascii="宋体" w:hAnsi="宋体" w:eastAsia="宋体" w:cs="宋体"/>
        </w:rPr>
        <w:t xml:space="preserve">4、开发建设企业违背出让合同约定条件开发利用土地的。 </w:t>
      </w:r>
    </w:p>
    <w:p w14:paraId="7529985E">
      <w:pPr>
        <w:pStyle w:val="12"/>
        <w:widowControl/>
        <w:spacing w:beforeAutospacing="1" w:afterAutospacing="1"/>
      </w:pPr>
      <w:r>
        <w:rPr>
          <w:rFonts w:hint="eastAsia" w:ascii="宋体" w:hAnsi="宋体" w:eastAsia="宋体" w:cs="宋体"/>
        </w:rPr>
        <w:t xml:space="preserve">（十）竞得入选人（竞得人）有下列行为之一的，竞得结果无效，竞买保证金不予退还。造成损失的，应当依法承担赔偿责任： </w:t>
      </w:r>
    </w:p>
    <w:p w14:paraId="056903C6">
      <w:pPr>
        <w:pStyle w:val="12"/>
        <w:widowControl/>
        <w:spacing w:beforeAutospacing="1" w:afterAutospacing="1"/>
      </w:pPr>
      <w:r>
        <w:rPr>
          <w:rFonts w:hint="eastAsia" w:ascii="宋体" w:hAnsi="宋体" w:eastAsia="宋体" w:cs="宋体"/>
        </w:rPr>
        <w:t xml:space="preserve">1、逾期或拒绝签订《国有建设用地使用权成交确认书》的； </w:t>
      </w:r>
    </w:p>
    <w:p w14:paraId="080B62BD">
      <w:pPr>
        <w:pStyle w:val="12"/>
        <w:widowControl/>
        <w:spacing w:beforeAutospacing="1" w:afterAutospacing="1"/>
      </w:pPr>
      <w:r>
        <w:rPr>
          <w:rFonts w:hint="eastAsia" w:ascii="宋体" w:hAnsi="宋体" w:eastAsia="宋体" w:cs="宋体"/>
        </w:rPr>
        <w:t xml:space="preserve">2、逾期或拒绝签订《国有建设用地使用权出让合同》的； </w:t>
      </w:r>
    </w:p>
    <w:p w14:paraId="133E1877">
      <w:pPr>
        <w:pStyle w:val="12"/>
        <w:widowControl/>
        <w:spacing w:beforeAutospacing="1" w:afterAutospacing="1"/>
      </w:pPr>
      <w:r>
        <w:rPr>
          <w:rFonts w:hint="eastAsia" w:ascii="宋体" w:hAnsi="宋体" w:eastAsia="宋体" w:cs="宋体"/>
        </w:rPr>
        <w:t xml:space="preserve">3、提供虚假信息、隐瞒事实的； </w:t>
      </w:r>
    </w:p>
    <w:p w14:paraId="153B0610">
      <w:pPr>
        <w:pStyle w:val="12"/>
        <w:widowControl/>
        <w:spacing w:beforeAutospacing="1" w:afterAutospacing="1"/>
      </w:pPr>
      <w:r>
        <w:rPr>
          <w:rFonts w:hint="eastAsia" w:ascii="宋体" w:hAnsi="宋体" w:eastAsia="宋体" w:cs="宋体"/>
        </w:rPr>
        <w:t xml:space="preserve">4、采取行贿、恶意串通等违法违规手段竞得的； </w:t>
      </w:r>
    </w:p>
    <w:p w14:paraId="3FA372F2">
      <w:pPr>
        <w:pStyle w:val="12"/>
        <w:widowControl/>
        <w:spacing w:beforeAutospacing="1" w:afterAutospacing="1"/>
      </w:pPr>
      <w:r>
        <w:rPr>
          <w:rFonts w:hint="eastAsia" w:ascii="宋体" w:hAnsi="宋体" w:eastAsia="宋体" w:cs="宋体"/>
        </w:rPr>
        <w:t xml:space="preserve">5、法律法规规定的其他情形。 </w:t>
      </w:r>
    </w:p>
    <w:p w14:paraId="564D0C77">
      <w:pPr>
        <w:pStyle w:val="12"/>
        <w:widowControl/>
        <w:spacing w:beforeAutospacing="1" w:afterAutospacing="1"/>
      </w:pPr>
      <w:r>
        <w:rPr>
          <w:rFonts w:hint="eastAsia" w:ascii="宋体" w:hAnsi="宋体" w:eastAsia="宋体" w:cs="宋体"/>
        </w:rPr>
        <w:t xml:space="preserve">（十一）因竞买申请人使用的计算机遭遇网络堵塞、病毒入侵及其软、硬件出现故障和遗失数字证书或遗忘、泄露密码等原因， 不能正常登录交易系统进行申请、报价、竞价的，后果由竞买申请人自行承担，网上交易活动不中止。竞买人因电脑或网络环境等遭遇人为攻击等，导致无法参与正常报价竞价的，可向所在地设区市级以上公安机关报案。 </w:t>
      </w:r>
    </w:p>
    <w:p w14:paraId="30B16D4C">
      <w:pPr>
        <w:pStyle w:val="12"/>
        <w:widowControl/>
        <w:spacing w:beforeAutospacing="1" w:afterAutospacing="1"/>
      </w:pPr>
      <w:r>
        <w:rPr>
          <w:rFonts w:hint="eastAsia" w:ascii="宋体" w:hAnsi="宋体" w:eastAsia="宋体" w:cs="宋体"/>
        </w:rPr>
        <w:t xml:space="preserve">（十二）系统推荐运行环境。操作系统请使用Win10、Win7；浏览器请使用IE10、IE11， 其它操作系统与浏览器可能会影响您正常参与网上交易活动。 数字证书驱动请到周口市公共资源交易中心官方网站（http://jyzx.zhoukou.gov.cn/）下载中心下载，并正确安装。 请竞买人在竞买前仔细检查好自己电脑的运行环境，以免影响您的报价、竞价。 </w:t>
      </w:r>
    </w:p>
    <w:p w14:paraId="1413979C">
      <w:pPr>
        <w:pStyle w:val="12"/>
        <w:widowControl/>
        <w:spacing w:beforeAutospacing="1" w:afterAutospacing="1"/>
      </w:pPr>
      <w:r>
        <w:rPr>
          <w:rFonts w:hint="eastAsia" w:ascii="宋体" w:hAnsi="宋体" w:eastAsia="宋体" w:cs="宋体"/>
        </w:rPr>
        <w:t>（十三）</w:t>
      </w:r>
      <w:r>
        <w:rPr>
          <w:rStyle w:val="15"/>
          <w:rFonts w:hint="eastAsia" w:ascii="宋体" w:hAnsi="宋体" w:eastAsia="宋体" w:cs="宋体"/>
        </w:rPr>
        <w:t>沈丘县自然资源局</w:t>
      </w:r>
      <w:r>
        <w:rPr>
          <w:rFonts w:hint="eastAsia" w:ascii="宋体" w:hAnsi="宋体" w:eastAsia="宋体" w:cs="宋体"/>
        </w:rPr>
        <w:t>与竞得入选人或竞得人因网上交易产生纠纷的，双方应协商解决，协商不成的，可依法向</w:t>
      </w:r>
      <w:r>
        <w:rPr>
          <w:rStyle w:val="15"/>
          <w:rFonts w:hint="eastAsia" w:ascii="宋体" w:hAnsi="宋体" w:eastAsia="宋体" w:cs="宋体"/>
          <w:u w:val="none"/>
        </w:rPr>
        <w:t>当地人民政府或上一级自然资源管理部门申请行政复议， 或向</w:t>
      </w:r>
      <w:r>
        <w:rPr>
          <w:rFonts w:hint="eastAsia" w:ascii="宋体" w:hAnsi="宋体" w:eastAsia="宋体" w:cs="宋体"/>
        </w:rPr>
        <w:t xml:space="preserve">人民法院提起行政诉讼。 </w:t>
      </w:r>
    </w:p>
    <w:p w14:paraId="340D43EA">
      <w:pPr>
        <w:pStyle w:val="12"/>
        <w:widowControl/>
        <w:spacing w:beforeAutospacing="1" w:afterAutospacing="1"/>
      </w:pPr>
      <w:r>
        <w:rPr>
          <w:rFonts w:hint="eastAsia" w:ascii="宋体" w:hAnsi="宋体" w:eastAsia="宋体" w:cs="宋体"/>
        </w:rPr>
        <w:t xml:space="preserve">（十四）竞买人应做好个人信息和竞买地点等相关信息的保密工作。 </w:t>
      </w:r>
    </w:p>
    <w:p w14:paraId="35B51542">
      <w:pPr>
        <w:pStyle w:val="12"/>
        <w:widowControl/>
        <w:spacing w:beforeAutospacing="1" w:afterAutospacing="1"/>
        <w:rPr>
          <w:rFonts w:ascii="宋体" w:hAnsi="宋体" w:eastAsia="宋体" w:cs="宋体"/>
        </w:rPr>
      </w:pPr>
      <w:r>
        <w:rPr>
          <w:rFonts w:hint="eastAsia" w:ascii="宋体" w:hAnsi="宋体" w:eastAsia="宋体" w:cs="宋体"/>
        </w:rPr>
        <w:t>（十五）</w:t>
      </w:r>
      <w:r>
        <w:rPr>
          <w:rStyle w:val="15"/>
          <w:rFonts w:hint="eastAsia" w:ascii="宋体" w:hAnsi="宋体" w:eastAsia="宋体" w:cs="宋体"/>
        </w:rPr>
        <w:t>沈丘县自然资源局</w:t>
      </w:r>
      <w:r>
        <w:rPr>
          <w:rFonts w:hint="eastAsia" w:ascii="宋体" w:hAnsi="宋体" w:eastAsia="宋体" w:cs="宋体"/>
        </w:rPr>
        <w:t xml:space="preserve">对本《须知》具有解释权。未尽事宜依照《招标拍卖挂牌出让国有土地使用权规范》办理。 </w:t>
      </w:r>
    </w:p>
    <w:p w14:paraId="3B76D07F">
      <w:pPr>
        <w:pStyle w:val="12"/>
        <w:widowControl/>
        <w:spacing w:beforeAutospacing="1" w:afterAutospacing="1"/>
        <w:ind w:right="135"/>
        <w:jc w:val="right"/>
        <w:rPr>
          <w:rStyle w:val="15"/>
          <w:rFonts w:ascii="宋体" w:hAnsi="宋体" w:eastAsia="宋体" w:cs="宋体"/>
          <w:u w:val="none"/>
        </w:rPr>
      </w:pPr>
    </w:p>
    <w:p w14:paraId="44D15F23">
      <w:pPr>
        <w:pStyle w:val="12"/>
        <w:widowControl/>
        <w:spacing w:beforeAutospacing="1" w:afterAutospacing="1"/>
        <w:jc w:val="right"/>
        <w:rPr>
          <w:rFonts w:ascii="宋体" w:hAnsi="宋体" w:eastAsia="宋体" w:cs="宋体"/>
        </w:rPr>
      </w:pPr>
      <w:r>
        <w:rPr>
          <w:rStyle w:val="15"/>
          <w:rFonts w:hint="eastAsia" w:ascii="宋体" w:hAnsi="宋体" w:eastAsia="宋体" w:cs="宋体"/>
          <w:u w:val="none"/>
        </w:rPr>
        <w:t>沈丘县自然资源局</w:t>
      </w:r>
    </w:p>
    <w:p w14:paraId="00D7B029">
      <w:pPr>
        <w:pStyle w:val="12"/>
        <w:widowControl/>
        <w:spacing w:beforeAutospacing="1" w:afterAutospacing="1"/>
        <w:jc w:val="right"/>
      </w:pPr>
      <w:r>
        <w:rPr>
          <w:rFonts w:hint="eastAsia" w:ascii="宋体" w:hAnsi="宋体" w:eastAsia="宋体" w:cs="宋体"/>
        </w:rPr>
        <w:t>2024年</w:t>
      </w:r>
      <w:r>
        <w:rPr>
          <w:rFonts w:hint="eastAsia" w:ascii="宋体" w:hAnsi="宋体" w:eastAsia="宋体" w:cs="宋体"/>
          <w:lang w:val="en-US" w:eastAsia="zh-CN"/>
        </w:rPr>
        <w:t>9月25日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C388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3ADFA5">
                          <w:pPr>
                            <w:pStyle w:val="2"/>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73ADFA5">
                    <w:pPr>
                      <w:pStyle w:val="2"/>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2MwNGEyYWY4MzFkYTQyZTYwNjAzYWY2ZDMzZjEifQ=="/>
  </w:docVars>
  <w:rsids>
    <w:rsidRoot w:val="0062766B"/>
    <w:rsid w:val="00001887"/>
    <w:rsid w:val="000109FD"/>
    <w:rsid w:val="00033462"/>
    <w:rsid w:val="00041C7E"/>
    <w:rsid w:val="00053F04"/>
    <w:rsid w:val="00056B98"/>
    <w:rsid w:val="000674A5"/>
    <w:rsid w:val="000916A4"/>
    <w:rsid w:val="00091B66"/>
    <w:rsid w:val="00096996"/>
    <w:rsid w:val="000B441C"/>
    <w:rsid w:val="000B6123"/>
    <w:rsid w:val="000B7891"/>
    <w:rsid w:val="000C1C19"/>
    <w:rsid w:val="000D33D7"/>
    <w:rsid w:val="000E6B64"/>
    <w:rsid w:val="000F44B4"/>
    <w:rsid w:val="001056BA"/>
    <w:rsid w:val="001344E5"/>
    <w:rsid w:val="00134B7F"/>
    <w:rsid w:val="00144A15"/>
    <w:rsid w:val="00146209"/>
    <w:rsid w:val="0014621B"/>
    <w:rsid w:val="00154E50"/>
    <w:rsid w:val="001602B9"/>
    <w:rsid w:val="001647B0"/>
    <w:rsid w:val="0016731B"/>
    <w:rsid w:val="00174544"/>
    <w:rsid w:val="00180133"/>
    <w:rsid w:val="001869BA"/>
    <w:rsid w:val="00187DAD"/>
    <w:rsid w:val="001A3F1F"/>
    <w:rsid w:val="001B1BEC"/>
    <w:rsid w:val="001F3DB7"/>
    <w:rsid w:val="001F5882"/>
    <w:rsid w:val="001F6BD7"/>
    <w:rsid w:val="0020123F"/>
    <w:rsid w:val="00216A80"/>
    <w:rsid w:val="00217BFA"/>
    <w:rsid w:val="00220586"/>
    <w:rsid w:val="00225DFA"/>
    <w:rsid w:val="00226EBA"/>
    <w:rsid w:val="00234405"/>
    <w:rsid w:val="00235D3D"/>
    <w:rsid w:val="0024250B"/>
    <w:rsid w:val="00242826"/>
    <w:rsid w:val="00265E75"/>
    <w:rsid w:val="00267B2F"/>
    <w:rsid w:val="0027571C"/>
    <w:rsid w:val="00283CE9"/>
    <w:rsid w:val="00284F28"/>
    <w:rsid w:val="0028603F"/>
    <w:rsid w:val="00295571"/>
    <w:rsid w:val="002A165F"/>
    <w:rsid w:val="002A3E66"/>
    <w:rsid w:val="002C4B19"/>
    <w:rsid w:val="002E702D"/>
    <w:rsid w:val="002F6BA6"/>
    <w:rsid w:val="00302156"/>
    <w:rsid w:val="00302768"/>
    <w:rsid w:val="00307CEF"/>
    <w:rsid w:val="00310B75"/>
    <w:rsid w:val="00320558"/>
    <w:rsid w:val="0032770B"/>
    <w:rsid w:val="00334158"/>
    <w:rsid w:val="003734CD"/>
    <w:rsid w:val="00374D65"/>
    <w:rsid w:val="00375D70"/>
    <w:rsid w:val="00393FF9"/>
    <w:rsid w:val="003A04FD"/>
    <w:rsid w:val="003A6071"/>
    <w:rsid w:val="003C1CA4"/>
    <w:rsid w:val="003D012A"/>
    <w:rsid w:val="003E24ED"/>
    <w:rsid w:val="003F7318"/>
    <w:rsid w:val="00400804"/>
    <w:rsid w:val="004043C9"/>
    <w:rsid w:val="00420219"/>
    <w:rsid w:val="00420475"/>
    <w:rsid w:val="00435037"/>
    <w:rsid w:val="004471FC"/>
    <w:rsid w:val="00467E31"/>
    <w:rsid w:val="00470B62"/>
    <w:rsid w:val="004821DF"/>
    <w:rsid w:val="0048382B"/>
    <w:rsid w:val="004877E3"/>
    <w:rsid w:val="00494B00"/>
    <w:rsid w:val="004A7506"/>
    <w:rsid w:val="004B651A"/>
    <w:rsid w:val="004C154D"/>
    <w:rsid w:val="004C295D"/>
    <w:rsid w:val="004C7B48"/>
    <w:rsid w:val="004E7687"/>
    <w:rsid w:val="00503381"/>
    <w:rsid w:val="005137BA"/>
    <w:rsid w:val="005228D2"/>
    <w:rsid w:val="00527360"/>
    <w:rsid w:val="00534F85"/>
    <w:rsid w:val="00536F3E"/>
    <w:rsid w:val="0054663C"/>
    <w:rsid w:val="005475E8"/>
    <w:rsid w:val="00556099"/>
    <w:rsid w:val="0055750C"/>
    <w:rsid w:val="00561501"/>
    <w:rsid w:val="0056341F"/>
    <w:rsid w:val="005746E7"/>
    <w:rsid w:val="00582A62"/>
    <w:rsid w:val="00582DEE"/>
    <w:rsid w:val="005A0F6E"/>
    <w:rsid w:val="005B3362"/>
    <w:rsid w:val="005C21B7"/>
    <w:rsid w:val="005C2E4B"/>
    <w:rsid w:val="005E61D5"/>
    <w:rsid w:val="005F196F"/>
    <w:rsid w:val="005F2244"/>
    <w:rsid w:val="005F2F03"/>
    <w:rsid w:val="00607C63"/>
    <w:rsid w:val="00612678"/>
    <w:rsid w:val="00622454"/>
    <w:rsid w:val="0062766B"/>
    <w:rsid w:val="00632D6D"/>
    <w:rsid w:val="0063378C"/>
    <w:rsid w:val="006411C6"/>
    <w:rsid w:val="00650BA7"/>
    <w:rsid w:val="00656ED6"/>
    <w:rsid w:val="0065710C"/>
    <w:rsid w:val="006609B8"/>
    <w:rsid w:val="00660C6C"/>
    <w:rsid w:val="006617D8"/>
    <w:rsid w:val="00697224"/>
    <w:rsid w:val="006A5B40"/>
    <w:rsid w:val="006C0150"/>
    <w:rsid w:val="006C643A"/>
    <w:rsid w:val="006F0D87"/>
    <w:rsid w:val="006F705C"/>
    <w:rsid w:val="007013AA"/>
    <w:rsid w:val="007105C4"/>
    <w:rsid w:val="007172E4"/>
    <w:rsid w:val="00717E2B"/>
    <w:rsid w:val="00736AC1"/>
    <w:rsid w:val="0073732B"/>
    <w:rsid w:val="0074477D"/>
    <w:rsid w:val="0075075D"/>
    <w:rsid w:val="00762159"/>
    <w:rsid w:val="00767E0D"/>
    <w:rsid w:val="00770437"/>
    <w:rsid w:val="00772262"/>
    <w:rsid w:val="007827DA"/>
    <w:rsid w:val="00784F1A"/>
    <w:rsid w:val="007969F2"/>
    <w:rsid w:val="007D58A7"/>
    <w:rsid w:val="007E155B"/>
    <w:rsid w:val="007E3A90"/>
    <w:rsid w:val="007E5F75"/>
    <w:rsid w:val="007F15EF"/>
    <w:rsid w:val="007F3023"/>
    <w:rsid w:val="007F764E"/>
    <w:rsid w:val="008003E8"/>
    <w:rsid w:val="00803ACF"/>
    <w:rsid w:val="00815FF3"/>
    <w:rsid w:val="00841A14"/>
    <w:rsid w:val="00846687"/>
    <w:rsid w:val="00870913"/>
    <w:rsid w:val="008A1464"/>
    <w:rsid w:val="008E3CF8"/>
    <w:rsid w:val="00912321"/>
    <w:rsid w:val="00912413"/>
    <w:rsid w:val="00936D03"/>
    <w:rsid w:val="00937DEC"/>
    <w:rsid w:val="00940310"/>
    <w:rsid w:val="00957901"/>
    <w:rsid w:val="009631CC"/>
    <w:rsid w:val="00970978"/>
    <w:rsid w:val="009A1CC4"/>
    <w:rsid w:val="009A3CEE"/>
    <w:rsid w:val="009A6491"/>
    <w:rsid w:val="009B5FA1"/>
    <w:rsid w:val="009C1FE5"/>
    <w:rsid w:val="009C38C4"/>
    <w:rsid w:val="009D6025"/>
    <w:rsid w:val="009D7CAE"/>
    <w:rsid w:val="009F3ECB"/>
    <w:rsid w:val="009F5038"/>
    <w:rsid w:val="00A03AFB"/>
    <w:rsid w:val="00A20491"/>
    <w:rsid w:val="00A40F4E"/>
    <w:rsid w:val="00A44209"/>
    <w:rsid w:val="00A450D7"/>
    <w:rsid w:val="00A51418"/>
    <w:rsid w:val="00A62916"/>
    <w:rsid w:val="00A67A1C"/>
    <w:rsid w:val="00A716F2"/>
    <w:rsid w:val="00A85934"/>
    <w:rsid w:val="00A87142"/>
    <w:rsid w:val="00AB3B20"/>
    <w:rsid w:val="00AB6125"/>
    <w:rsid w:val="00AC09ED"/>
    <w:rsid w:val="00AC5080"/>
    <w:rsid w:val="00AF33C0"/>
    <w:rsid w:val="00B060EA"/>
    <w:rsid w:val="00B80CDF"/>
    <w:rsid w:val="00BC173E"/>
    <w:rsid w:val="00BC3A26"/>
    <w:rsid w:val="00BC4A7F"/>
    <w:rsid w:val="00BC7327"/>
    <w:rsid w:val="00BD5F02"/>
    <w:rsid w:val="00BE0454"/>
    <w:rsid w:val="00BE38BD"/>
    <w:rsid w:val="00BE7635"/>
    <w:rsid w:val="00BF773F"/>
    <w:rsid w:val="00C167A9"/>
    <w:rsid w:val="00C1754B"/>
    <w:rsid w:val="00C47674"/>
    <w:rsid w:val="00C55187"/>
    <w:rsid w:val="00C6036A"/>
    <w:rsid w:val="00C66DDD"/>
    <w:rsid w:val="00C7125E"/>
    <w:rsid w:val="00C80C8D"/>
    <w:rsid w:val="00C823D1"/>
    <w:rsid w:val="00CB0F63"/>
    <w:rsid w:val="00CB49F0"/>
    <w:rsid w:val="00CB529F"/>
    <w:rsid w:val="00CB6FB3"/>
    <w:rsid w:val="00CC15B2"/>
    <w:rsid w:val="00CE034D"/>
    <w:rsid w:val="00CE0D34"/>
    <w:rsid w:val="00CF7973"/>
    <w:rsid w:val="00D00C64"/>
    <w:rsid w:val="00D01C99"/>
    <w:rsid w:val="00D26F87"/>
    <w:rsid w:val="00D62271"/>
    <w:rsid w:val="00D929E1"/>
    <w:rsid w:val="00D94FE4"/>
    <w:rsid w:val="00DA24FB"/>
    <w:rsid w:val="00DA6617"/>
    <w:rsid w:val="00DB0C83"/>
    <w:rsid w:val="00DC0C0C"/>
    <w:rsid w:val="00DC45F5"/>
    <w:rsid w:val="00DE25CE"/>
    <w:rsid w:val="00DF062A"/>
    <w:rsid w:val="00DF22C8"/>
    <w:rsid w:val="00DF6DEB"/>
    <w:rsid w:val="00DF7B0D"/>
    <w:rsid w:val="00E04A22"/>
    <w:rsid w:val="00E14D75"/>
    <w:rsid w:val="00E217A0"/>
    <w:rsid w:val="00E24B70"/>
    <w:rsid w:val="00E3168F"/>
    <w:rsid w:val="00E3211F"/>
    <w:rsid w:val="00E453B3"/>
    <w:rsid w:val="00E476F6"/>
    <w:rsid w:val="00E5755D"/>
    <w:rsid w:val="00E7136E"/>
    <w:rsid w:val="00E80CDC"/>
    <w:rsid w:val="00E8369A"/>
    <w:rsid w:val="00E84B3B"/>
    <w:rsid w:val="00E904D5"/>
    <w:rsid w:val="00E953ED"/>
    <w:rsid w:val="00EA06E3"/>
    <w:rsid w:val="00EA565E"/>
    <w:rsid w:val="00EA7703"/>
    <w:rsid w:val="00EC1F1D"/>
    <w:rsid w:val="00EC4BDA"/>
    <w:rsid w:val="00EC5DFB"/>
    <w:rsid w:val="00EC6ACD"/>
    <w:rsid w:val="00ED0E92"/>
    <w:rsid w:val="00ED3ADD"/>
    <w:rsid w:val="00ED5E7A"/>
    <w:rsid w:val="00EE2712"/>
    <w:rsid w:val="00F00274"/>
    <w:rsid w:val="00F03763"/>
    <w:rsid w:val="00F07D50"/>
    <w:rsid w:val="00F10545"/>
    <w:rsid w:val="00F226CB"/>
    <w:rsid w:val="00F23636"/>
    <w:rsid w:val="00F26B2E"/>
    <w:rsid w:val="00F36174"/>
    <w:rsid w:val="00F411D6"/>
    <w:rsid w:val="00F42067"/>
    <w:rsid w:val="00F46363"/>
    <w:rsid w:val="00F52811"/>
    <w:rsid w:val="00F55DB4"/>
    <w:rsid w:val="00F62315"/>
    <w:rsid w:val="00F70018"/>
    <w:rsid w:val="00F7154B"/>
    <w:rsid w:val="00F7396B"/>
    <w:rsid w:val="00F77113"/>
    <w:rsid w:val="00F90546"/>
    <w:rsid w:val="00F93D4F"/>
    <w:rsid w:val="00FB3598"/>
    <w:rsid w:val="00FB3A24"/>
    <w:rsid w:val="00FD4DA7"/>
    <w:rsid w:val="00FD6460"/>
    <w:rsid w:val="00FF010E"/>
    <w:rsid w:val="01831107"/>
    <w:rsid w:val="01C643A0"/>
    <w:rsid w:val="048735DA"/>
    <w:rsid w:val="06FA03D6"/>
    <w:rsid w:val="070E4BE0"/>
    <w:rsid w:val="07B65537"/>
    <w:rsid w:val="083D5780"/>
    <w:rsid w:val="091A491D"/>
    <w:rsid w:val="09E976B2"/>
    <w:rsid w:val="0A9B651C"/>
    <w:rsid w:val="0AEF06C4"/>
    <w:rsid w:val="0F781A74"/>
    <w:rsid w:val="0F9C031E"/>
    <w:rsid w:val="117C52F1"/>
    <w:rsid w:val="142430E6"/>
    <w:rsid w:val="16FD0CC0"/>
    <w:rsid w:val="19262F6F"/>
    <w:rsid w:val="1C2743F3"/>
    <w:rsid w:val="1C5E116D"/>
    <w:rsid w:val="20AF583F"/>
    <w:rsid w:val="23CC7662"/>
    <w:rsid w:val="26C65CB2"/>
    <w:rsid w:val="2CA73AF6"/>
    <w:rsid w:val="2CFC52AC"/>
    <w:rsid w:val="2ECA4E5F"/>
    <w:rsid w:val="311A0483"/>
    <w:rsid w:val="324944B8"/>
    <w:rsid w:val="33BA2EB8"/>
    <w:rsid w:val="380527DA"/>
    <w:rsid w:val="3866136C"/>
    <w:rsid w:val="39AF6725"/>
    <w:rsid w:val="39F83C1C"/>
    <w:rsid w:val="3B034EA2"/>
    <w:rsid w:val="3ED31F88"/>
    <w:rsid w:val="411E12F3"/>
    <w:rsid w:val="44EA1ED9"/>
    <w:rsid w:val="46EC420B"/>
    <w:rsid w:val="482B5DEE"/>
    <w:rsid w:val="49782877"/>
    <w:rsid w:val="4AF73212"/>
    <w:rsid w:val="4B9E0E3F"/>
    <w:rsid w:val="4C683EE2"/>
    <w:rsid w:val="4CD0297C"/>
    <w:rsid w:val="4DDF72CC"/>
    <w:rsid w:val="4E9F50EF"/>
    <w:rsid w:val="4F695766"/>
    <w:rsid w:val="52697C5A"/>
    <w:rsid w:val="531F2C2A"/>
    <w:rsid w:val="54A557DB"/>
    <w:rsid w:val="56F21E51"/>
    <w:rsid w:val="599F1E15"/>
    <w:rsid w:val="59CD3B4F"/>
    <w:rsid w:val="59F60B1B"/>
    <w:rsid w:val="5B5A284A"/>
    <w:rsid w:val="60F92964"/>
    <w:rsid w:val="64A86089"/>
    <w:rsid w:val="65116342"/>
    <w:rsid w:val="67F47330"/>
    <w:rsid w:val="68000203"/>
    <w:rsid w:val="68F7417B"/>
    <w:rsid w:val="69CC40E3"/>
    <w:rsid w:val="6AA1144A"/>
    <w:rsid w:val="6C145CE7"/>
    <w:rsid w:val="6C69022E"/>
    <w:rsid w:val="6CFB71C3"/>
    <w:rsid w:val="6F701AAC"/>
    <w:rsid w:val="6FDE28FF"/>
    <w:rsid w:val="72771034"/>
    <w:rsid w:val="728F0D09"/>
    <w:rsid w:val="72990146"/>
    <w:rsid w:val="79C769E9"/>
    <w:rsid w:val="7B6E6453"/>
    <w:rsid w:val="7D2F540A"/>
    <w:rsid w:val="7F2E38D9"/>
    <w:rsid w:val="7F98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000000"/>
      <w:u w:val="none"/>
    </w:rPr>
  </w:style>
  <w:style w:type="character" w:styleId="8">
    <w:name w:val="Emphasis"/>
    <w:basedOn w:val="6"/>
    <w:qFormat/>
    <w:uiPriority w:val="0"/>
  </w:style>
  <w:style w:type="character" w:styleId="9">
    <w:name w:val="Hyperlink"/>
    <w:basedOn w:val="6"/>
    <w:qFormat/>
    <w:uiPriority w:val="0"/>
    <w:rPr>
      <w:color w:val="0000FF"/>
      <w:u w:val="single"/>
    </w:rPr>
  </w:style>
  <w:style w:type="paragraph" w:customStyle="1" w:styleId="10">
    <w:name w:val="txt5"/>
    <w:basedOn w:val="1"/>
    <w:qFormat/>
    <w:uiPriority w:val="0"/>
    <w:pPr>
      <w:spacing w:line="450" w:lineRule="atLeast"/>
      <w:ind w:left="420"/>
      <w:jc w:val="left"/>
    </w:pPr>
    <w:rPr>
      <w:rFonts w:cs="Times New Roman"/>
      <w:kern w:val="0"/>
      <w:sz w:val="27"/>
      <w:szCs w:val="27"/>
    </w:rPr>
  </w:style>
  <w:style w:type="paragraph" w:customStyle="1" w:styleId="11">
    <w:name w:val="txt4"/>
    <w:basedOn w:val="1"/>
    <w:qFormat/>
    <w:uiPriority w:val="0"/>
    <w:pPr>
      <w:spacing w:line="450" w:lineRule="atLeast"/>
      <w:ind w:firstLine="420"/>
      <w:jc w:val="left"/>
    </w:pPr>
    <w:rPr>
      <w:rFonts w:cs="Times New Roman"/>
      <w:b/>
      <w:kern w:val="0"/>
      <w:sz w:val="27"/>
      <w:szCs w:val="27"/>
    </w:rPr>
  </w:style>
  <w:style w:type="paragraph" w:customStyle="1" w:styleId="12">
    <w:name w:val="txt3"/>
    <w:basedOn w:val="1"/>
    <w:qFormat/>
    <w:uiPriority w:val="0"/>
    <w:pPr>
      <w:spacing w:line="450" w:lineRule="atLeast"/>
      <w:ind w:firstLine="420"/>
      <w:jc w:val="left"/>
    </w:pPr>
    <w:rPr>
      <w:rFonts w:cs="Times New Roman"/>
      <w:kern w:val="0"/>
      <w:sz w:val="27"/>
      <w:szCs w:val="27"/>
    </w:rPr>
  </w:style>
  <w:style w:type="paragraph" w:customStyle="1" w:styleId="13">
    <w:name w:val="txt6"/>
    <w:basedOn w:val="1"/>
    <w:qFormat/>
    <w:uiPriority w:val="0"/>
    <w:pPr>
      <w:spacing w:line="450" w:lineRule="atLeast"/>
      <w:ind w:right="420"/>
      <w:jc w:val="right"/>
    </w:pPr>
    <w:rPr>
      <w:rFonts w:cs="Times New Roman"/>
      <w:kern w:val="0"/>
      <w:sz w:val="27"/>
      <w:szCs w:val="27"/>
    </w:rPr>
  </w:style>
  <w:style w:type="paragraph" w:customStyle="1" w:styleId="14">
    <w:name w:val="txt1"/>
    <w:basedOn w:val="1"/>
    <w:qFormat/>
    <w:uiPriority w:val="0"/>
    <w:pPr>
      <w:spacing w:before="225" w:after="225"/>
      <w:jc w:val="center"/>
    </w:pPr>
    <w:rPr>
      <w:rFonts w:cs="Times New Roman"/>
      <w:b/>
      <w:kern w:val="0"/>
      <w:sz w:val="36"/>
      <w:szCs w:val="36"/>
    </w:rPr>
  </w:style>
  <w:style w:type="character" w:customStyle="1" w:styleId="15">
    <w:name w:val="udline1"/>
    <w:basedOn w:val="6"/>
    <w:qFormat/>
    <w:uiPriority w:val="0"/>
    <w:rPr>
      <w:u w:val="single"/>
    </w:rPr>
  </w:style>
  <w:style w:type="character" w:customStyle="1" w:styleId="16">
    <w:name w:val="red1"/>
    <w:basedOn w:val="6"/>
    <w:qFormat/>
    <w:uiPriority w:val="0"/>
    <w:rPr>
      <w:color w:val="95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6112</Words>
  <Characters>6361</Characters>
  <Lines>76</Lines>
  <Paragraphs>21</Paragraphs>
  <TotalTime>2</TotalTime>
  <ScaleCrop>false</ScaleCrop>
  <LinksUpToDate>false</LinksUpToDate>
  <CharactersWithSpaces>6553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2024-01-11T03:22:00Z</dcterms:created>
  <dc:creator>gg1</dc:creator>
  <cp:lastModifiedBy>W</cp:lastModifiedBy>
  <cp:lastPrinted>2019-11-26T08:45:00Z</cp:lastPrinted>
  <dcterms:modified xsi:type="dcterms:W3CDTF">2024-09-24T03:36:43Z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CAD4E15D03794028B39F713E32F93D20_13</vt:lpwstr>
  </property>
</Properties>
</file>