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D1F1C1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  <w:lang w:val="en-US" w:eastAsia="zh-CN"/>
        </w:rPr>
        <w:t>附件2</w:t>
      </w:r>
    </w:p>
    <w:p w14:paraId="7C600444">
      <w:pPr>
        <w:widowControl/>
        <w:numPr>
          <w:ilvl w:val="0"/>
          <w:numId w:val="0"/>
        </w:numPr>
        <w:spacing w:line="400" w:lineRule="exact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327AEB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kern w:val="0"/>
          <w:sz w:val="44"/>
          <w:szCs w:val="44"/>
          <w:lang w:val="en-US" w:eastAsia="zh-CN"/>
        </w:rPr>
        <w:t>农业机械报废条件</w:t>
      </w:r>
      <w:bookmarkEnd w:id="0"/>
    </w:p>
    <w:p w14:paraId="18652A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</w:p>
    <w:p w14:paraId="0DBA6AC0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达到报废年限的。小型拖拉机报废年限为10年、大中型拖拉机报废年限为15年、履带拖拉机报废年限为12年、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谷物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联合收割机报废年限为12年、玉米收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机报废年限为10年、手扶式水稻插秧机报废年限为8年、乘坐式水稻插秧机报废年限为10年、玉米脱粒机报废年限为8年、饲料粉碎机报废年限为10年、铡草机报废年限为10年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540A5E2C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使用年限或累计工作时间不足，经过检查调整或更换易损件后仍然达不到规定技术要求的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38237887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由于各种原因造成严重损坏、无法修复的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CE4B735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预计大修费用大于同类新产品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售价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50%的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656B16DB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5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未达到报废年限，但技术状况差且无配件来源的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2A4246E3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6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国家明令淘汰的。</w:t>
      </w:r>
    </w:p>
    <w:p w14:paraId="5F3230B7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对未达报废年限但安全隐患大、故障发生率高、损毁严重、维修成本高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技术落后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的农机，经县级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农机主管部门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同意后，允许申请报废补贴。</w:t>
      </w:r>
    </w:p>
    <w:p w14:paraId="6DE10DC8">
      <w:pPr>
        <w:keepNext w:val="0"/>
        <w:keepLines w:val="0"/>
        <w:pageBreakBefore w:val="0"/>
        <w:widowControl/>
        <w:kinsoku/>
        <w:wordWrap w:val="0"/>
        <w:overflowPunct/>
        <w:topLinePunct w:val="0"/>
        <w:bidi w:val="0"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highlight w:val="none"/>
        </w:rPr>
      </w:pPr>
    </w:p>
    <w:p w14:paraId="7B2BE9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0273921-93FB-4716-96E7-9251B9C114F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A5CB3C6-7B6A-4077-8FDE-59E4C4AD697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B455A27-F069-443A-84AE-A2C406C9DA9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F3EB0A8-66C2-4195-BA83-7D493E660E8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215B80"/>
    <w:rsid w:val="29E95751"/>
    <w:rsid w:val="6B21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2024-12-20T01:57:00Z</dcterms:created>
  <dc:creator>微醺</dc:creator>
  <cp:lastModifiedBy>微醺</cp:lastModifiedBy>
  <dcterms:modified xsi:type="dcterms:W3CDTF">2024-12-20T01:58:15Z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FDD478D99FBA4EE6BD031ECA43E8DED4_13</vt:lpwstr>
  </property>
</Properties>
</file>