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30D3EB">
      <w:pPr>
        <w:keepNext w:val="0"/>
        <w:keepLines w:val="0"/>
        <w:pageBreakBefore w:val="0"/>
        <w:widowControl/>
        <w:kinsoku/>
        <w:wordWrap w:val="0"/>
        <w:overflowPunct/>
        <w:topLinePunct w:val="0"/>
        <w:bidi w:val="0"/>
        <w:snapToGrid/>
        <w:spacing w:line="600" w:lineRule="exact"/>
        <w:jc w:val="both"/>
        <w:textAlignment w:val="auto"/>
        <w:rPr>
          <w:rFonts w:hint="default" w:ascii="Times New Roman" w:hAnsi="Times New Roman" w:eastAsia="黑体" w:cs="Times New Roman"/>
          <w:color w:val="auto"/>
          <w:kern w:val="0"/>
          <w:sz w:val="32"/>
          <w:szCs w:val="32"/>
          <w:highlight w:val="none"/>
          <w:lang w:val="en-US" w:eastAsia="zh-CN"/>
        </w:rPr>
      </w:pPr>
      <w:bookmarkStart w:id="0" w:name="_GoBack"/>
      <w:r>
        <w:rPr>
          <w:rFonts w:hint="default" w:ascii="Times New Roman" w:hAnsi="Times New Roman" w:eastAsia="黑体" w:cs="Times New Roman"/>
          <w:color w:val="auto"/>
          <w:kern w:val="0"/>
          <w:sz w:val="32"/>
          <w:szCs w:val="32"/>
          <w:highlight w:val="none"/>
          <w:lang w:val="en-US" w:eastAsia="zh-CN"/>
        </w:rPr>
        <w:t>附件</w:t>
      </w:r>
      <w:r>
        <w:rPr>
          <w:rFonts w:hint="eastAsia" w:ascii="Times New Roman" w:hAnsi="Times New Roman" w:eastAsia="黑体" w:cs="Times New Roman"/>
          <w:color w:val="auto"/>
          <w:kern w:val="0"/>
          <w:sz w:val="32"/>
          <w:szCs w:val="32"/>
          <w:highlight w:val="none"/>
          <w:lang w:val="en-US" w:eastAsia="zh-CN"/>
        </w:rPr>
        <w:t>1</w:t>
      </w:r>
    </w:p>
    <w:p w14:paraId="18AC00DC">
      <w:pPr>
        <w:keepNext w:val="0"/>
        <w:keepLines w:val="0"/>
        <w:pageBreakBefore w:val="0"/>
        <w:widowControl/>
        <w:kinsoku/>
        <w:wordWrap w:val="0"/>
        <w:overflowPunct/>
        <w:topLinePunct w:val="0"/>
        <w:bidi w:val="0"/>
        <w:snapToGrid/>
        <w:spacing w:line="600" w:lineRule="exact"/>
        <w:jc w:val="center"/>
        <w:textAlignment w:val="auto"/>
        <w:rPr>
          <w:rFonts w:hint="default" w:ascii="Times New Roman" w:hAnsi="Times New Roman" w:eastAsia="方正小标宋简体" w:cs="Times New Roman"/>
          <w:color w:val="auto"/>
          <w:kern w:val="0"/>
          <w:sz w:val="44"/>
          <w:szCs w:val="44"/>
          <w:highlight w:val="none"/>
        </w:rPr>
      </w:pPr>
      <w:r>
        <w:rPr>
          <w:rFonts w:hint="default" w:ascii="Times New Roman" w:hAnsi="Times New Roman" w:eastAsia="方正小标宋简体" w:cs="Times New Roman"/>
          <w:color w:val="auto"/>
          <w:kern w:val="0"/>
          <w:sz w:val="44"/>
          <w:szCs w:val="44"/>
          <w:highlight w:val="none"/>
          <w:lang w:val="en-US" w:eastAsia="zh-CN"/>
        </w:rPr>
        <w:t>河南省</w:t>
      </w:r>
      <w:r>
        <w:rPr>
          <w:rFonts w:hint="default" w:ascii="Times New Roman" w:hAnsi="Times New Roman" w:eastAsia="方正小标宋简体" w:cs="Times New Roman"/>
          <w:color w:val="auto"/>
          <w:kern w:val="0"/>
          <w:sz w:val="44"/>
          <w:szCs w:val="44"/>
          <w:highlight w:val="none"/>
        </w:rPr>
        <w:t>农机报废</w:t>
      </w:r>
      <w:r>
        <w:rPr>
          <w:rFonts w:hint="default" w:ascii="Times New Roman" w:hAnsi="Times New Roman" w:eastAsia="方正小标宋简体" w:cs="Times New Roman"/>
          <w:color w:val="auto"/>
          <w:kern w:val="0"/>
          <w:sz w:val="44"/>
          <w:szCs w:val="44"/>
          <w:highlight w:val="none"/>
          <w:lang w:val="en-US" w:eastAsia="zh-CN"/>
        </w:rPr>
        <w:t>种类及</w:t>
      </w:r>
      <w:r>
        <w:rPr>
          <w:rFonts w:hint="default" w:ascii="Times New Roman" w:hAnsi="Times New Roman" w:eastAsia="方正小标宋简体" w:cs="Times New Roman"/>
          <w:color w:val="auto"/>
          <w:kern w:val="0"/>
          <w:sz w:val="44"/>
          <w:szCs w:val="44"/>
          <w:highlight w:val="none"/>
        </w:rPr>
        <w:t>补贴额一览表</w:t>
      </w:r>
    </w:p>
    <w:bookmarkEnd w:id="0"/>
    <w:tbl>
      <w:tblPr>
        <w:tblStyle w:val="2"/>
        <w:tblpPr w:leftFromText="180" w:rightFromText="180" w:vertAnchor="text" w:horzAnchor="page" w:tblpX="1124" w:tblpY="178"/>
        <w:tblOverlap w:val="never"/>
        <w:tblW w:w="9675" w:type="dxa"/>
        <w:tblInd w:w="0" w:type="dxa"/>
        <w:tblLayout w:type="fixed"/>
        <w:tblCellMar>
          <w:top w:w="0" w:type="dxa"/>
          <w:left w:w="0" w:type="dxa"/>
          <w:bottom w:w="0" w:type="dxa"/>
          <w:right w:w="0" w:type="dxa"/>
        </w:tblCellMar>
      </w:tblPr>
      <w:tblGrid>
        <w:gridCol w:w="630"/>
        <w:gridCol w:w="1455"/>
        <w:gridCol w:w="5610"/>
        <w:gridCol w:w="720"/>
        <w:gridCol w:w="1260"/>
      </w:tblGrid>
      <w:tr w14:paraId="156039B5">
        <w:tblPrEx>
          <w:tblCellMar>
            <w:top w:w="0" w:type="dxa"/>
            <w:left w:w="0" w:type="dxa"/>
            <w:bottom w:w="0" w:type="dxa"/>
            <w:right w:w="0"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5885E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序号</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91AD7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机型</w:t>
            </w:r>
          </w:p>
        </w:tc>
        <w:tc>
          <w:tcPr>
            <w:tcW w:w="5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BC18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类别</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2BD12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报废</w:t>
            </w:r>
            <w:r>
              <w:rPr>
                <w:rFonts w:hint="default" w:ascii="Times New Roman" w:hAnsi="Times New Roman" w:cs="Times New Roman"/>
                <w:b/>
                <w:i w:val="0"/>
                <w:color w:val="000000"/>
                <w:kern w:val="0"/>
                <w:sz w:val="22"/>
                <w:szCs w:val="22"/>
                <w:highlight w:val="none"/>
                <w:u w:val="none"/>
                <w:lang w:val="en-US" w:eastAsia="zh-CN" w:bidi="ar"/>
              </w:rPr>
              <w:t xml:space="preserve">   </w:t>
            </w:r>
            <w:r>
              <w:rPr>
                <w:rFonts w:hint="default" w:ascii="Times New Roman" w:hAnsi="Times New Roman" w:eastAsia="宋体" w:cs="Times New Roman"/>
                <w:b/>
                <w:i w:val="0"/>
                <w:color w:val="000000"/>
                <w:kern w:val="0"/>
                <w:sz w:val="22"/>
                <w:szCs w:val="22"/>
                <w:highlight w:val="none"/>
                <w:u w:val="none"/>
                <w:lang w:val="en-US" w:eastAsia="zh-CN" w:bidi="ar"/>
              </w:rPr>
              <w:t>补贴额（元）</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24D1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cs="Times New Roman"/>
                <w:b/>
                <w:i w:val="0"/>
                <w:color w:val="000000"/>
                <w:kern w:val="0"/>
                <w:sz w:val="22"/>
                <w:szCs w:val="22"/>
                <w:highlight w:val="none"/>
                <w:u w:val="none"/>
                <w:lang w:val="en-US" w:eastAsia="zh-CN" w:bidi="ar"/>
              </w:rPr>
              <w:t>（</w:t>
            </w:r>
            <w:r>
              <w:rPr>
                <w:rFonts w:hint="default" w:ascii="Times New Roman" w:hAnsi="Times New Roman" w:eastAsia="宋体" w:cs="Times New Roman"/>
                <w:b/>
                <w:i w:val="0"/>
                <w:color w:val="000000"/>
                <w:kern w:val="0"/>
                <w:sz w:val="22"/>
                <w:szCs w:val="22"/>
                <w:highlight w:val="none"/>
                <w:u w:val="none"/>
                <w:lang w:val="en-US" w:eastAsia="zh-CN" w:bidi="ar"/>
              </w:rPr>
              <w:t>报废并新购置同</w:t>
            </w:r>
            <w:r>
              <w:rPr>
                <w:rFonts w:hint="default" w:ascii="Times New Roman" w:hAnsi="Times New Roman" w:cs="Times New Roman"/>
                <w:b/>
                <w:i w:val="0"/>
                <w:color w:val="000000"/>
                <w:kern w:val="0"/>
                <w:sz w:val="22"/>
                <w:szCs w:val="22"/>
                <w:highlight w:val="none"/>
                <w:u w:val="none"/>
                <w:lang w:val="en-US" w:eastAsia="zh-CN" w:bidi="ar"/>
              </w:rPr>
              <w:t>种</w:t>
            </w:r>
            <w:r>
              <w:rPr>
                <w:rFonts w:hint="default" w:ascii="Times New Roman" w:hAnsi="Times New Roman" w:eastAsia="宋体" w:cs="Times New Roman"/>
                <w:b/>
                <w:i w:val="0"/>
                <w:color w:val="000000"/>
                <w:kern w:val="0"/>
                <w:sz w:val="22"/>
                <w:szCs w:val="22"/>
                <w:highlight w:val="none"/>
                <w:u w:val="none"/>
                <w:lang w:val="en-US" w:eastAsia="zh-CN" w:bidi="ar"/>
              </w:rPr>
              <w:t>类机具</w:t>
            </w:r>
            <w:r>
              <w:rPr>
                <w:rFonts w:hint="default" w:ascii="Times New Roman" w:hAnsi="Times New Roman" w:cs="Times New Roman"/>
                <w:b/>
                <w:i w:val="0"/>
                <w:color w:val="000000"/>
                <w:kern w:val="0"/>
                <w:sz w:val="22"/>
                <w:szCs w:val="22"/>
                <w:highlight w:val="none"/>
                <w:u w:val="none"/>
                <w:lang w:val="en-US" w:eastAsia="zh-CN" w:bidi="ar"/>
              </w:rPr>
              <w:t>的）报废</w:t>
            </w:r>
            <w:r>
              <w:rPr>
                <w:rFonts w:hint="default" w:ascii="Times New Roman" w:hAnsi="Times New Roman" w:eastAsia="宋体" w:cs="Times New Roman"/>
                <w:b/>
                <w:i w:val="0"/>
                <w:color w:val="000000"/>
                <w:kern w:val="0"/>
                <w:sz w:val="22"/>
                <w:szCs w:val="22"/>
                <w:highlight w:val="none"/>
                <w:u w:val="none"/>
                <w:lang w:val="en-US" w:eastAsia="zh-CN" w:bidi="ar"/>
              </w:rPr>
              <w:t>补贴额（元）</w:t>
            </w:r>
          </w:p>
        </w:tc>
      </w:tr>
      <w:tr w14:paraId="0922900A">
        <w:tblPrEx>
          <w:tblCellMar>
            <w:top w:w="0" w:type="dxa"/>
            <w:left w:w="0" w:type="dxa"/>
            <w:bottom w:w="0" w:type="dxa"/>
            <w:right w:w="0" w:type="dxa"/>
          </w:tblCellMar>
        </w:tblPrEx>
        <w:trPr>
          <w:trHeight w:val="335" w:hRule="atLeast"/>
        </w:trPr>
        <w:tc>
          <w:tcPr>
            <w:tcW w:w="630"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463191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w:t>
            </w:r>
          </w:p>
        </w:tc>
        <w:tc>
          <w:tcPr>
            <w:tcW w:w="1455" w:type="dxa"/>
            <w:vMerge w:val="restart"/>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74650E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拖拉机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E9EE1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20马力以下</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192D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1500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A5CF4DA">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291B19E1">
        <w:tblPrEx>
          <w:tblCellMar>
            <w:top w:w="0" w:type="dxa"/>
            <w:left w:w="0" w:type="dxa"/>
            <w:bottom w:w="0" w:type="dxa"/>
            <w:right w:w="0" w:type="dxa"/>
          </w:tblCellMar>
        </w:tblPrEx>
        <w:trPr>
          <w:trHeight w:val="205" w:hRule="atLeast"/>
        </w:trPr>
        <w:tc>
          <w:tcPr>
            <w:tcW w:w="630"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31FD412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noWrap/>
            <w:tcMar>
              <w:top w:w="15" w:type="dxa"/>
              <w:left w:w="15" w:type="dxa"/>
              <w:right w:w="15" w:type="dxa"/>
            </w:tcMar>
            <w:vAlign w:val="center"/>
          </w:tcPr>
          <w:p w14:paraId="6700BEA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41B4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20（含）-50马力（含）</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41CD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3850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BB9446">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0322E897">
        <w:tblPrEx>
          <w:tblCellMar>
            <w:top w:w="0" w:type="dxa"/>
            <w:left w:w="0" w:type="dxa"/>
            <w:bottom w:w="0" w:type="dxa"/>
            <w:right w:w="0" w:type="dxa"/>
          </w:tblCellMar>
        </w:tblPrEx>
        <w:trPr>
          <w:trHeight w:val="315" w:hRule="atLeast"/>
        </w:trPr>
        <w:tc>
          <w:tcPr>
            <w:tcW w:w="6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035CEB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FBFA5F2">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40037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50-80马力（含）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4F8C85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7860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A6F81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r>
      <w:tr w14:paraId="14152B7B">
        <w:tblPrEx>
          <w:tblCellMar>
            <w:top w:w="0" w:type="dxa"/>
            <w:left w:w="0" w:type="dxa"/>
            <w:bottom w:w="0" w:type="dxa"/>
            <w:right w:w="0" w:type="dxa"/>
          </w:tblCellMar>
        </w:tblPrEx>
        <w:trPr>
          <w:trHeight w:val="225" w:hRule="atLeast"/>
        </w:trPr>
        <w:tc>
          <w:tcPr>
            <w:tcW w:w="6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993F79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9E3C8D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67F22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80-100马力（含）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C26067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10840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F7ED12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r>
      <w:tr w14:paraId="383907E3">
        <w:tblPrEx>
          <w:tblCellMar>
            <w:top w:w="0" w:type="dxa"/>
            <w:left w:w="0" w:type="dxa"/>
            <w:bottom w:w="0" w:type="dxa"/>
            <w:right w:w="0" w:type="dxa"/>
          </w:tblCellMar>
        </w:tblPrEx>
        <w:trPr>
          <w:trHeight w:val="250" w:hRule="atLeast"/>
        </w:trPr>
        <w:tc>
          <w:tcPr>
            <w:tcW w:w="6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50FF22A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168DD8A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FA0D61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100-160马力（含）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BFD66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13140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3668962">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r>
      <w:tr w14:paraId="7D60C5F5">
        <w:tblPrEx>
          <w:tblCellMar>
            <w:top w:w="0" w:type="dxa"/>
            <w:left w:w="0" w:type="dxa"/>
            <w:bottom w:w="0" w:type="dxa"/>
            <w:right w:w="0" w:type="dxa"/>
          </w:tblCellMar>
        </w:tblPrEx>
        <w:trPr>
          <w:trHeight w:val="295" w:hRule="atLeast"/>
        </w:trPr>
        <w:tc>
          <w:tcPr>
            <w:tcW w:w="6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3B7D4D6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77B002A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5DEFC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160-200马力（含）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C93B6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18000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0F9B0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r>
      <w:tr w14:paraId="2F4AB486">
        <w:tblPrEx>
          <w:tblCellMar>
            <w:top w:w="0" w:type="dxa"/>
            <w:left w:w="0" w:type="dxa"/>
            <w:bottom w:w="0" w:type="dxa"/>
            <w:right w:w="0" w:type="dxa"/>
          </w:tblCellMar>
        </w:tblPrEx>
        <w:trPr>
          <w:trHeight w:val="295" w:hRule="atLeast"/>
        </w:trPr>
        <w:tc>
          <w:tcPr>
            <w:tcW w:w="630"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BC891C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14:paraId="6C12AB6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5A8D0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200马力以上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66A3E38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8F6B2F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r>
      <w:tr w14:paraId="46A212B2">
        <w:tblPrEx>
          <w:tblCellMar>
            <w:top w:w="0" w:type="dxa"/>
            <w:left w:w="0" w:type="dxa"/>
            <w:bottom w:w="0" w:type="dxa"/>
            <w:right w:w="0" w:type="dxa"/>
          </w:tblCellMar>
        </w:tblPrEx>
        <w:trPr>
          <w:trHeight w:val="9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CB8692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2</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0E840B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联合收割机</w:t>
            </w: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E9BEE9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自走式全喂入稻麦联合收割机，喂入量0.5—1kg/s（含）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1B955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8193F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4500</w:t>
            </w:r>
          </w:p>
        </w:tc>
      </w:tr>
      <w:tr w14:paraId="0B08F893">
        <w:tblPrEx>
          <w:tblCellMar>
            <w:top w:w="0" w:type="dxa"/>
            <w:left w:w="0" w:type="dxa"/>
            <w:bottom w:w="0" w:type="dxa"/>
            <w:right w:w="0" w:type="dxa"/>
          </w:tblCellMar>
        </w:tblPrEx>
        <w:trPr>
          <w:trHeight w:val="31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6FB97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787F8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35526F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自走式全喂入稻麦联合收割机，喂入量1—3kg/s（含）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6DA195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5500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ACB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8250</w:t>
            </w:r>
          </w:p>
        </w:tc>
      </w:tr>
      <w:tr w14:paraId="5C6F6A2B">
        <w:tblPrEx>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17E3F34">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F0F1A5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A6627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自走式全喂入稻麦联合收割机，喂入量3—4kg/s（含）</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49559C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7300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AB41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10950</w:t>
            </w:r>
          </w:p>
        </w:tc>
      </w:tr>
      <w:tr w14:paraId="0FE2BD93">
        <w:tblPrEx>
          <w:tblCellMar>
            <w:top w:w="0" w:type="dxa"/>
            <w:left w:w="0" w:type="dxa"/>
            <w:bottom w:w="0" w:type="dxa"/>
            <w:right w:w="0" w:type="dxa"/>
          </w:tblCellMar>
        </w:tblPrEx>
        <w:trPr>
          <w:trHeight w:val="20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B70A45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F8C587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D2A6B2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自走式全喂入稻麦联合收割机，喂入量4kg/s以上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92B0F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11000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9A7A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16500</w:t>
            </w:r>
          </w:p>
        </w:tc>
      </w:tr>
      <w:tr w14:paraId="6C54B421">
        <w:tblPrEx>
          <w:tblCellMar>
            <w:top w:w="0" w:type="dxa"/>
            <w:left w:w="0" w:type="dxa"/>
            <w:bottom w:w="0" w:type="dxa"/>
            <w:right w:w="0" w:type="dxa"/>
          </w:tblCellMar>
        </w:tblPrEx>
        <w:trPr>
          <w:trHeight w:val="2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851608D">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A632F7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5FC94C2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自走式半喂入稻麦联合收割机，3行，35马力（含）以上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CA71D9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814720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10800</w:t>
            </w:r>
          </w:p>
        </w:tc>
      </w:tr>
      <w:tr w14:paraId="7A607DB7">
        <w:tblPrEx>
          <w:tblCellMar>
            <w:top w:w="0" w:type="dxa"/>
            <w:left w:w="0" w:type="dxa"/>
            <w:bottom w:w="0" w:type="dxa"/>
            <w:right w:w="0" w:type="dxa"/>
          </w:tblCellMar>
        </w:tblPrEx>
        <w:trPr>
          <w:trHeight w:val="49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029D94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716E28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1ABC1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自走式半喂入稻麦联合收割机，4（含）行以上，35马力（含）以上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BECCD0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17500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4ED5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26250</w:t>
            </w:r>
          </w:p>
        </w:tc>
      </w:tr>
      <w:tr w14:paraId="3014E44C">
        <w:tblPrEx>
          <w:tblCellMar>
            <w:top w:w="0" w:type="dxa"/>
            <w:left w:w="0" w:type="dxa"/>
            <w:bottom w:w="0" w:type="dxa"/>
            <w:right w:w="0" w:type="dxa"/>
          </w:tblCellMar>
        </w:tblPrEx>
        <w:trPr>
          <w:trHeight w:val="2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CF85C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CB72CD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607586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自走式玉米联合收割机，2行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184C54E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6ABF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10800</w:t>
            </w:r>
          </w:p>
        </w:tc>
      </w:tr>
      <w:tr w14:paraId="2C71CE4D">
        <w:tblPrEx>
          <w:tblCellMar>
            <w:top w:w="0" w:type="dxa"/>
            <w:left w:w="0" w:type="dxa"/>
            <w:bottom w:w="0" w:type="dxa"/>
            <w:right w:w="0" w:type="dxa"/>
          </w:tblCellMar>
        </w:tblPrEx>
        <w:trPr>
          <w:trHeight w:val="23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3F9A938">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44BEC7B">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1BF64EA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自走式玉米联合收割机，3行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2EDDC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12500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ED94B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18750</w:t>
            </w:r>
          </w:p>
        </w:tc>
      </w:tr>
      <w:tr w14:paraId="275BE523">
        <w:tblPrEx>
          <w:tblCellMar>
            <w:top w:w="0" w:type="dxa"/>
            <w:left w:w="0" w:type="dxa"/>
            <w:bottom w:w="0" w:type="dxa"/>
            <w:right w:w="0" w:type="dxa"/>
          </w:tblCellMar>
        </w:tblPrEx>
        <w:trPr>
          <w:trHeight w:val="29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6DBC48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1ABF16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80169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自走式玉米联合收割机，4行及以上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3D2A885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E5009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30000</w:t>
            </w:r>
          </w:p>
        </w:tc>
      </w:tr>
      <w:tr w14:paraId="76909B1B">
        <w:tblPrEx>
          <w:tblCellMar>
            <w:top w:w="0" w:type="dxa"/>
            <w:left w:w="0" w:type="dxa"/>
            <w:bottom w:w="0" w:type="dxa"/>
            <w:right w:w="0" w:type="dxa"/>
          </w:tblCellMar>
        </w:tblPrEx>
        <w:trPr>
          <w:trHeight w:val="200" w:hRule="atLeast"/>
        </w:trPr>
        <w:tc>
          <w:tcPr>
            <w:tcW w:w="630"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E6ED3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3</w:t>
            </w: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901E9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播种机</w:t>
            </w: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5616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6行以下</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9C3B0A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6D8B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900</w:t>
            </w:r>
          </w:p>
        </w:tc>
      </w:tr>
      <w:tr w14:paraId="5A3E4826">
        <w:tblPrEx>
          <w:tblCellMar>
            <w:top w:w="0" w:type="dxa"/>
            <w:left w:w="0" w:type="dxa"/>
            <w:bottom w:w="0" w:type="dxa"/>
            <w:right w:w="0" w:type="dxa"/>
          </w:tblCellMar>
        </w:tblPrEx>
        <w:trPr>
          <w:trHeight w:val="210"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36DFEB59">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071C7283">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7C7D21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6-11行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44A3D2A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1200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570C7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1800</w:t>
            </w:r>
          </w:p>
        </w:tc>
      </w:tr>
      <w:tr w14:paraId="35A4CDF6">
        <w:tblPrEx>
          <w:tblCellMar>
            <w:top w:w="0" w:type="dxa"/>
            <w:left w:w="0" w:type="dxa"/>
            <w:bottom w:w="0" w:type="dxa"/>
            <w:right w:w="0" w:type="dxa"/>
          </w:tblCellMar>
        </w:tblPrEx>
        <w:trPr>
          <w:trHeight w:val="24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26CE6DF">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814E6A1">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41AD107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12-18行</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00B3479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A73F5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2400</w:t>
            </w:r>
          </w:p>
        </w:tc>
      </w:tr>
      <w:tr w14:paraId="5722E472">
        <w:tblPrEx>
          <w:tblCellMar>
            <w:top w:w="0" w:type="dxa"/>
            <w:left w:w="0" w:type="dxa"/>
            <w:bottom w:w="0" w:type="dxa"/>
            <w:right w:w="0" w:type="dxa"/>
          </w:tblCellMar>
        </w:tblPrEx>
        <w:trPr>
          <w:trHeight w:val="185" w:hRule="atLeast"/>
        </w:trPr>
        <w:tc>
          <w:tcPr>
            <w:tcW w:w="630"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7684C137">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61D1C240">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shd w:val="clear" w:color="auto" w:fill="auto"/>
            <w:noWrap w:val="0"/>
            <w:tcMar>
              <w:top w:w="15" w:type="dxa"/>
              <w:left w:w="15" w:type="dxa"/>
              <w:right w:w="15" w:type="dxa"/>
            </w:tcMar>
            <w:vAlign w:val="center"/>
          </w:tcPr>
          <w:p w14:paraId="294A188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18行以上</w:t>
            </w:r>
          </w:p>
        </w:tc>
        <w:tc>
          <w:tcPr>
            <w:tcW w:w="720" w:type="dxa"/>
            <w:tcBorders>
              <w:top w:val="single" w:color="000000" w:sz="4" w:space="0"/>
              <w:left w:val="single" w:color="000000" w:sz="4" w:space="0"/>
              <w:bottom w:val="single" w:color="000000" w:sz="4" w:space="0"/>
              <w:right w:val="single" w:color="000000" w:sz="4" w:space="0"/>
            </w:tcBorders>
            <w:shd w:val="clear" w:color="auto" w:fill="FFFFFF"/>
            <w:noWrap w:val="0"/>
            <w:tcMar>
              <w:top w:w="15" w:type="dxa"/>
              <w:left w:w="15" w:type="dxa"/>
              <w:right w:w="15" w:type="dxa"/>
            </w:tcMar>
            <w:vAlign w:val="center"/>
          </w:tcPr>
          <w:p w14:paraId="5093B24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4E8F6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3000</w:t>
            </w:r>
          </w:p>
        </w:tc>
      </w:tr>
      <w:tr w14:paraId="7E8FCBFD">
        <w:tblPrEx>
          <w:tblCellMar>
            <w:top w:w="0" w:type="dxa"/>
            <w:left w:w="0" w:type="dxa"/>
            <w:bottom w:w="0" w:type="dxa"/>
            <w:right w:w="0" w:type="dxa"/>
          </w:tblCellMar>
        </w:tblPrEx>
        <w:trPr>
          <w:trHeight w:val="230"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00B0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4</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59B48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水稻插秧机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3D180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2行手扶步进式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B5B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540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57DDF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810</w:t>
            </w:r>
          </w:p>
        </w:tc>
      </w:tr>
      <w:tr w14:paraId="67CF6E0E">
        <w:tblPrEx>
          <w:tblCellMar>
            <w:top w:w="0" w:type="dxa"/>
            <w:left w:w="0" w:type="dxa"/>
            <w:bottom w:w="0" w:type="dxa"/>
            <w:right w:w="0" w:type="dxa"/>
          </w:tblCellMar>
        </w:tblPrEx>
        <w:trPr>
          <w:trHeight w:val="21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1C9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6A15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4556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4行手扶步进式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787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1140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C660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1710</w:t>
            </w:r>
          </w:p>
        </w:tc>
      </w:tr>
      <w:tr w14:paraId="0F483FB1">
        <w:tblPrEx>
          <w:tblCellMar>
            <w:top w:w="0" w:type="dxa"/>
            <w:left w:w="0" w:type="dxa"/>
            <w:bottom w:w="0" w:type="dxa"/>
            <w:right w:w="0" w:type="dxa"/>
          </w:tblCellMar>
        </w:tblPrEx>
        <w:trPr>
          <w:trHeight w:val="23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C3CFA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AE096">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8536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6行及以上手扶步进式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E0402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1410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20F70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2110</w:t>
            </w:r>
          </w:p>
        </w:tc>
      </w:tr>
      <w:tr w14:paraId="4B1E71C7">
        <w:tblPrEx>
          <w:tblCellMar>
            <w:top w:w="0" w:type="dxa"/>
            <w:left w:w="0" w:type="dxa"/>
            <w:bottom w:w="0" w:type="dxa"/>
            <w:right w:w="0" w:type="dxa"/>
          </w:tblCellMar>
        </w:tblPrEx>
        <w:trPr>
          <w:trHeight w:val="27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B77A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2397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A1DC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6行及以上独轮乘坐式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00F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1350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4BEB2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2020</w:t>
            </w:r>
          </w:p>
        </w:tc>
      </w:tr>
      <w:tr w14:paraId="11ABA067">
        <w:tblPrEx>
          <w:tblCellMar>
            <w:top w:w="0" w:type="dxa"/>
            <w:left w:w="0" w:type="dxa"/>
            <w:bottom w:w="0" w:type="dxa"/>
            <w:right w:w="0" w:type="dxa"/>
          </w:tblCellMar>
        </w:tblPrEx>
        <w:trPr>
          <w:trHeight w:val="17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435B9E">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266B8A">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01E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4-5行四轮乘坐式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03AA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3300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040F2C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4950</w:t>
            </w:r>
          </w:p>
        </w:tc>
      </w:tr>
      <w:tr w14:paraId="74B24B4C">
        <w:tblPrEx>
          <w:tblCellMar>
            <w:top w:w="0" w:type="dxa"/>
            <w:left w:w="0" w:type="dxa"/>
            <w:bottom w:w="0" w:type="dxa"/>
            <w:right w:w="0" w:type="dxa"/>
          </w:tblCellMar>
        </w:tblPrEx>
        <w:trPr>
          <w:trHeight w:val="275"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4EE4C">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241B5">
            <w:pPr>
              <w:keepNext w:val="0"/>
              <w:keepLines w:val="0"/>
              <w:pageBreakBefore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950A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6-7行四轮乘坐式</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B020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7470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23444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11200</w:t>
            </w:r>
          </w:p>
        </w:tc>
      </w:tr>
      <w:tr w14:paraId="0C88C29D">
        <w:tblPrEx>
          <w:tblCellMar>
            <w:top w:w="0" w:type="dxa"/>
            <w:left w:w="0" w:type="dxa"/>
            <w:bottom w:w="0" w:type="dxa"/>
            <w:right w:w="0" w:type="dxa"/>
          </w:tblCellMar>
        </w:tblPrEx>
        <w:trPr>
          <w:trHeight w:val="270" w:hRule="atLeast"/>
        </w:trPr>
        <w:tc>
          <w:tcPr>
            <w:tcW w:w="630"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ABBCA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B0EE71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9D6D5D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8行及以上四轮乘坐式</w:t>
            </w:r>
          </w:p>
        </w:tc>
        <w:tc>
          <w:tcPr>
            <w:tcW w:w="7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EC88E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8730</w:t>
            </w:r>
          </w:p>
        </w:tc>
        <w:tc>
          <w:tcPr>
            <w:tcW w:w="12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14:paraId="7095332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13090</w:t>
            </w:r>
          </w:p>
        </w:tc>
      </w:tr>
      <w:tr w14:paraId="1C23F5C5">
        <w:tblPrEx>
          <w:tblCellMar>
            <w:top w:w="0" w:type="dxa"/>
            <w:left w:w="0" w:type="dxa"/>
            <w:bottom w:w="0" w:type="dxa"/>
            <w:right w:w="0" w:type="dxa"/>
          </w:tblCellMar>
        </w:tblPrEx>
        <w:trPr>
          <w:trHeight w:val="315" w:hRule="atLeast"/>
        </w:trPr>
        <w:tc>
          <w:tcPr>
            <w:tcW w:w="630" w:type="dxa"/>
            <w:vMerge w:val="restart"/>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0822BB2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5</w:t>
            </w:r>
          </w:p>
        </w:tc>
        <w:tc>
          <w:tcPr>
            <w:tcW w:w="1455" w:type="dxa"/>
            <w:vMerge w:val="restart"/>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747B92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饲料粉碎机</w:t>
            </w:r>
          </w:p>
        </w:tc>
        <w:tc>
          <w:tcPr>
            <w:tcW w:w="5610" w:type="dxa"/>
            <w:tcBorders>
              <w:top w:val="single" w:color="auto"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0DED23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转子直径400（含）-550mm</w:t>
            </w:r>
          </w:p>
        </w:tc>
        <w:tc>
          <w:tcPr>
            <w:tcW w:w="7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3B4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140</w:t>
            </w:r>
          </w:p>
        </w:tc>
        <w:tc>
          <w:tcPr>
            <w:tcW w:w="1260" w:type="dxa"/>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14:paraId="583F78D4">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0F4D38D4">
        <w:tblPrEx>
          <w:tblCellMar>
            <w:top w:w="0" w:type="dxa"/>
            <w:left w:w="0" w:type="dxa"/>
            <w:bottom w:w="0" w:type="dxa"/>
            <w:right w:w="0" w:type="dxa"/>
          </w:tblCellMar>
        </w:tblPrEx>
        <w:trPr>
          <w:trHeight w:val="265" w:hRule="atLeast"/>
        </w:trPr>
        <w:tc>
          <w:tcPr>
            <w:tcW w:w="630" w:type="dxa"/>
            <w:vMerge w:val="continue"/>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43E5E24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center"/>
          </w:tcPr>
          <w:p w14:paraId="695645E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1A2DA6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转子直径550mm（含）以上</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62AB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240</w:t>
            </w:r>
          </w:p>
        </w:tc>
        <w:tc>
          <w:tcPr>
            <w:tcW w:w="126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14:paraId="13ADEFE0">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0EE9722E">
        <w:tblPrEx>
          <w:tblCellMar>
            <w:top w:w="0" w:type="dxa"/>
            <w:left w:w="0" w:type="dxa"/>
            <w:bottom w:w="0" w:type="dxa"/>
            <w:right w:w="0" w:type="dxa"/>
          </w:tblCellMar>
        </w:tblPrEx>
        <w:trPr>
          <w:trHeight w:val="280" w:hRule="atLeast"/>
        </w:trPr>
        <w:tc>
          <w:tcPr>
            <w:tcW w:w="630"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center"/>
          </w:tcPr>
          <w:p w14:paraId="1D3BAC5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6</w:t>
            </w:r>
          </w:p>
        </w:tc>
        <w:tc>
          <w:tcPr>
            <w:tcW w:w="1455" w:type="dxa"/>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E6CD5A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玉米脱粒机</w:t>
            </w:r>
          </w:p>
        </w:tc>
        <w:tc>
          <w:tcPr>
            <w:tcW w:w="561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6FE79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生产率10t/h（含）及以上</w:t>
            </w:r>
          </w:p>
        </w:tc>
        <w:tc>
          <w:tcPr>
            <w:tcW w:w="72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9315B7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360</w:t>
            </w:r>
          </w:p>
        </w:tc>
        <w:tc>
          <w:tcPr>
            <w:tcW w:w="1260" w:type="dxa"/>
            <w:tcBorders>
              <w:top w:val="single" w:color="000000" w:sz="4" w:space="0"/>
              <w:left w:val="single" w:color="000000" w:sz="4" w:space="0"/>
              <w:bottom w:val="single" w:color="auto" w:sz="4" w:space="0"/>
              <w:right w:val="single" w:color="auto" w:sz="4" w:space="0"/>
            </w:tcBorders>
            <w:noWrap/>
            <w:tcMar>
              <w:top w:w="15" w:type="dxa"/>
              <w:left w:w="15" w:type="dxa"/>
              <w:right w:w="15" w:type="dxa"/>
            </w:tcMar>
            <w:vAlign w:val="center"/>
          </w:tcPr>
          <w:p w14:paraId="413CC23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29A4E5F0">
        <w:tblPrEx>
          <w:tblCellMar>
            <w:top w:w="0" w:type="dxa"/>
            <w:left w:w="0" w:type="dxa"/>
            <w:bottom w:w="0" w:type="dxa"/>
            <w:right w:w="0" w:type="dxa"/>
          </w:tblCellMar>
        </w:tblPrEx>
        <w:trPr>
          <w:trHeight w:val="270" w:hRule="atLeast"/>
        </w:trPr>
        <w:tc>
          <w:tcPr>
            <w:tcW w:w="630" w:type="dxa"/>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26A1B6B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7</w:t>
            </w:r>
          </w:p>
        </w:tc>
        <w:tc>
          <w:tcPr>
            <w:tcW w:w="1455" w:type="dxa"/>
            <w:vMerge w:val="restart"/>
            <w:tcBorders>
              <w:top w:val="single" w:color="auto" w:sz="4" w:space="0"/>
              <w:left w:val="single" w:color="000000" w:sz="4" w:space="0"/>
              <w:bottom w:val="nil"/>
              <w:right w:val="single" w:color="000000" w:sz="4" w:space="0"/>
            </w:tcBorders>
            <w:noWrap w:val="0"/>
            <w:tcMar>
              <w:top w:w="15" w:type="dxa"/>
              <w:left w:w="15" w:type="dxa"/>
              <w:right w:w="15" w:type="dxa"/>
            </w:tcMar>
            <w:vAlign w:val="center"/>
          </w:tcPr>
          <w:p w14:paraId="5B530BD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铡草机</w:t>
            </w:r>
          </w:p>
        </w:tc>
        <w:tc>
          <w:tcPr>
            <w:tcW w:w="561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621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生产率（干秸秆）6（含）-9t/h</w:t>
            </w:r>
          </w:p>
        </w:tc>
        <w:tc>
          <w:tcPr>
            <w:tcW w:w="72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F996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360</w:t>
            </w:r>
          </w:p>
        </w:tc>
        <w:tc>
          <w:tcPr>
            <w:tcW w:w="1260"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14:paraId="20EB73E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5570F1EE">
        <w:tblPrEx>
          <w:tblCellMar>
            <w:top w:w="0" w:type="dxa"/>
            <w:left w:w="0" w:type="dxa"/>
            <w:bottom w:w="0" w:type="dxa"/>
            <w:right w:w="0" w:type="dxa"/>
          </w:tblCellMar>
        </w:tblPrEx>
        <w:trPr>
          <w:trHeight w:val="300" w:hRule="atLeast"/>
        </w:trPr>
        <w:tc>
          <w:tcPr>
            <w:tcW w:w="6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7D8F76A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68764E3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3C4B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生产率（干秸秆）9（含）-20t/h</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C758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750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9D66C8F">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15AD408B">
        <w:tblPrEx>
          <w:tblCellMar>
            <w:top w:w="0" w:type="dxa"/>
            <w:left w:w="0" w:type="dxa"/>
            <w:bottom w:w="0" w:type="dxa"/>
            <w:right w:w="0" w:type="dxa"/>
          </w:tblCellMar>
        </w:tblPrEx>
        <w:trPr>
          <w:trHeight w:val="330" w:hRule="atLeast"/>
        </w:trPr>
        <w:tc>
          <w:tcPr>
            <w:tcW w:w="630"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298235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4"/>
                <w:szCs w:val="24"/>
                <w:highlight w:val="none"/>
                <w:u w:val="none"/>
              </w:rPr>
            </w:pPr>
          </w:p>
        </w:tc>
        <w:tc>
          <w:tcPr>
            <w:tcW w:w="1455" w:type="dxa"/>
            <w:vMerge w:val="continue"/>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14:paraId="2E558D2B">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C02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生产率（干秸秆）20t/h（含）以上</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068C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1080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8E8578">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r>
      <w:tr w14:paraId="1204E75E">
        <w:tblPrEx>
          <w:tblCellMar>
            <w:top w:w="0" w:type="dxa"/>
            <w:left w:w="0" w:type="dxa"/>
            <w:bottom w:w="0" w:type="dxa"/>
            <w:right w:w="0" w:type="dxa"/>
          </w:tblCellMar>
        </w:tblPrEx>
        <w:trPr>
          <w:trHeight w:val="545" w:hRule="atLeast"/>
        </w:trPr>
        <w:tc>
          <w:tcPr>
            <w:tcW w:w="63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A79A3F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4"/>
                <w:szCs w:val="24"/>
                <w:highlight w:val="none"/>
                <w:u w:val="none"/>
              </w:rPr>
            </w:pPr>
            <w:r>
              <w:rPr>
                <w:rFonts w:hint="default" w:ascii="Times New Roman" w:hAnsi="Times New Roman" w:eastAsia="宋体" w:cs="Times New Roman"/>
                <w:b/>
                <w:i w:val="0"/>
                <w:color w:val="000000"/>
                <w:kern w:val="0"/>
                <w:sz w:val="24"/>
                <w:szCs w:val="24"/>
                <w:highlight w:val="none"/>
                <w:u w:val="none"/>
                <w:lang w:val="en-US" w:eastAsia="zh-CN" w:bidi="ar"/>
              </w:rPr>
              <w:t>8</w:t>
            </w:r>
          </w:p>
        </w:tc>
        <w:tc>
          <w:tcPr>
            <w:tcW w:w="1455"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5D51EDD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农用北斗辅助驾驶系统</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F170C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辅助驾驶（系统）设备</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7590B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B4300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800</w:t>
            </w:r>
          </w:p>
        </w:tc>
      </w:tr>
      <w:tr w14:paraId="140A9779">
        <w:tblPrEx>
          <w:tblCellMar>
            <w:top w:w="0" w:type="dxa"/>
            <w:left w:w="0" w:type="dxa"/>
            <w:bottom w:w="0" w:type="dxa"/>
            <w:right w:w="0" w:type="dxa"/>
          </w:tblCellMar>
        </w:tblPrEx>
        <w:trPr>
          <w:trHeight w:val="510" w:hRule="atLeast"/>
        </w:trPr>
        <w:tc>
          <w:tcPr>
            <w:tcW w:w="63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16AA1A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9</w:t>
            </w:r>
          </w:p>
        </w:tc>
        <w:tc>
          <w:tcPr>
            <w:tcW w:w="145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133FB1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打（压）捆机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80CF0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方捆，压缩室截面积（宽×高）0.154m²（含）以上，打结器2个（含）以上，捡拾宽度1.7m（含）以上</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A2D57">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4140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8D90D">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0ADAA067">
        <w:tblPrEx>
          <w:tblCellMar>
            <w:top w:w="0" w:type="dxa"/>
            <w:left w:w="0" w:type="dxa"/>
            <w:bottom w:w="0" w:type="dxa"/>
            <w:right w:w="0" w:type="dxa"/>
          </w:tblCellMar>
        </w:tblPrEx>
        <w:trPr>
          <w:trHeight w:val="48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09676CD">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4B1EA66A">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0CF39">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圆捆，压缩室直径0.5（含）-1.2m，压缩室宽度0.7（含）-1.2m，捡拾宽度0.7m（含）以上</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038D2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1620</w:t>
            </w:r>
          </w:p>
        </w:tc>
        <w:tc>
          <w:tcPr>
            <w:tcW w:w="12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2122F1">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09F92A18">
        <w:tblPrEx>
          <w:tblCellMar>
            <w:top w:w="0" w:type="dxa"/>
            <w:left w:w="0" w:type="dxa"/>
            <w:bottom w:w="0" w:type="dxa"/>
            <w:right w:w="0" w:type="dxa"/>
          </w:tblCellMar>
        </w:tblPrEx>
        <w:trPr>
          <w:trHeight w:val="470" w:hRule="atLeast"/>
        </w:trPr>
        <w:tc>
          <w:tcPr>
            <w:tcW w:w="63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10E32251">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07F1F0A7">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560D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圆捆，压缩室直径1.2m（含）以上，压缩室宽度1.2m（含）以上，捡拾宽度2.2m（含）以上</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DFF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6180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D08A2">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2E003640">
        <w:tblPrEx>
          <w:tblCellMar>
            <w:top w:w="0" w:type="dxa"/>
            <w:left w:w="0" w:type="dxa"/>
            <w:bottom w:w="0" w:type="dxa"/>
            <w:right w:w="0" w:type="dxa"/>
          </w:tblCellMar>
        </w:tblPrEx>
        <w:trPr>
          <w:trHeight w:val="355" w:hRule="atLeast"/>
        </w:trPr>
        <w:tc>
          <w:tcPr>
            <w:tcW w:w="63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2459286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10</w:t>
            </w:r>
          </w:p>
        </w:tc>
        <w:tc>
          <w:tcPr>
            <w:tcW w:w="145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CD9A53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花生收获机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6EB23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自走式花生联合收获机，工作幅宽0.5m（含）以上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58500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6510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EA8D4C">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50743925">
        <w:tblPrEx>
          <w:tblCellMar>
            <w:top w:w="0" w:type="dxa"/>
            <w:left w:w="0" w:type="dxa"/>
            <w:bottom w:w="0" w:type="dxa"/>
            <w:right w:w="0" w:type="dxa"/>
          </w:tblCellMar>
        </w:tblPrEx>
        <w:trPr>
          <w:trHeight w:val="415" w:hRule="atLeast"/>
        </w:trPr>
        <w:tc>
          <w:tcPr>
            <w:tcW w:w="63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34EB5CA9">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14:paraId="63DC93B5">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5DC9B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自走式花生捡拾收获机，捡拾幅宽2.5m（含）以上，配套发动机功率88kW（含）以上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A7185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11850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8C92A0">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7EB2ABBB">
        <w:tblPrEx>
          <w:tblCellMar>
            <w:top w:w="0" w:type="dxa"/>
            <w:left w:w="0" w:type="dxa"/>
            <w:bottom w:w="0" w:type="dxa"/>
            <w:right w:w="0" w:type="dxa"/>
          </w:tblCellMar>
        </w:tblPrEx>
        <w:trPr>
          <w:trHeight w:val="555" w:hRule="atLeast"/>
        </w:trPr>
        <w:tc>
          <w:tcPr>
            <w:tcW w:w="63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AB91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11</w:t>
            </w:r>
          </w:p>
        </w:tc>
        <w:tc>
          <w:tcPr>
            <w:tcW w:w="1455"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B230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自走圆盘式青饲料收获机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AC99F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割幅2.6m（含）以上，对辊式，配套发动机功率150kW（含）以上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400F0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20000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9D57FF9">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3A81F636">
        <w:tblPrEx>
          <w:tblCellMar>
            <w:top w:w="0" w:type="dxa"/>
            <w:left w:w="0" w:type="dxa"/>
            <w:bottom w:w="0" w:type="dxa"/>
            <w:right w:w="0" w:type="dxa"/>
          </w:tblCellMar>
        </w:tblPrEx>
        <w:trPr>
          <w:trHeight w:val="275" w:hRule="atLeast"/>
        </w:trPr>
        <w:tc>
          <w:tcPr>
            <w:tcW w:w="63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130A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12</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F4377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谷物（粮食）干燥机</w:t>
            </w: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381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循环式，批处理量30t（含）以上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B45579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14520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95D1A6">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1FC19A96">
        <w:tblPrEx>
          <w:tblCellMar>
            <w:top w:w="0" w:type="dxa"/>
            <w:left w:w="0" w:type="dxa"/>
            <w:bottom w:w="0" w:type="dxa"/>
            <w:right w:w="0" w:type="dxa"/>
          </w:tblCellMar>
        </w:tblPrEx>
        <w:trPr>
          <w:trHeight w:val="290" w:hRule="atLeast"/>
        </w:trPr>
        <w:tc>
          <w:tcPr>
            <w:tcW w:w="63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5478C">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b/>
                <w:i w:val="0"/>
                <w:color w:val="000000"/>
                <w:sz w:val="22"/>
                <w:szCs w:val="22"/>
                <w:highlight w:val="none"/>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D8DA4E">
            <w:pPr>
              <w:keepNext w:val="0"/>
              <w:keepLines w:val="0"/>
              <w:pageBreakBefore w:val="0"/>
              <w:kinsoku/>
              <w:wordWrap/>
              <w:overflowPunct/>
              <w:topLinePunct w:val="0"/>
              <w:autoSpaceDE/>
              <w:autoSpaceDN/>
              <w:bidi w:val="0"/>
              <w:adjustRightInd/>
              <w:snapToGrid/>
              <w:spacing w:line="260" w:lineRule="exact"/>
              <w:jc w:val="center"/>
              <w:rPr>
                <w:rFonts w:hint="default" w:ascii="Times New Roman" w:hAnsi="Times New Roman" w:eastAsia="宋体" w:cs="Times New Roman"/>
                <w:i w:val="0"/>
                <w:color w:val="000000"/>
                <w:sz w:val="22"/>
                <w:szCs w:val="22"/>
                <w:highlight w:val="none"/>
                <w:u w:val="none"/>
              </w:rPr>
            </w:pPr>
          </w:p>
        </w:tc>
        <w:tc>
          <w:tcPr>
            <w:tcW w:w="56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AD85E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连续式，处理量100t/d（含）以上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873B8A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21360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343891">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r w14:paraId="21AE1FBD">
        <w:tblPrEx>
          <w:tblCellMar>
            <w:top w:w="0" w:type="dxa"/>
            <w:left w:w="0" w:type="dxa"/>
            <w:bottom w:w="0" w:type="dxa"/>
            <w:right w:w="0" w:type="dxa"/>
          </w:tblCellMar>
        </w:tblPrEx>
        <w:trPr>
          <w:trHeight w:val="570" w:hRule="atLeast"/>
        </w:trPr>
        <w:tc>
          <w:tcPr>
            <w:tcW w:w="6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23145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b/>
                <w:i w:val="0"/>
                <w:color w:val="000000"/>
                <w:sz w:val="22"/>
                <w:szCs w:val="22"/>
                <w:highlight w:val="none"/>
                <w:u w:val="none"/>
              </w:rPr>
            </w:pPr>
            <w:r>
              <w:rPr>
                <w:rFonts w:hint="default" w:ascii="Times New Roman" w:hAnsi="Times New Roman" w:eastAsia="宋体" w:cs="Times New Roman"/>
                <w:b/>
                <w:i w:val="0"/>
                <w:color w:val="000000"/>
                <w:kern w:val="0"/>
                <w:sz w:val="22"/>
                <w:szCs w:val="22"/>
                <w:highlight w:val="none"/>
                <w:u w:val="none"/>
                <w:lang w:val="en-US" w:eastAsia="zh-CN" w:bidi="ar"/>
              </w:rPr>
              <w:t>13</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80D8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自走履带式油菜籽收获机</w:t>
            </w:r>
          </w:p>
        </w:tc>
        <w:tc>
          <w:tcPr>
            <w:tcW w:w="56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E9FA2C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喂入量4kg/s（含）以上</w:t>
            </w: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B854A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default" w:ascii="Times New Roman" w:hAnsi="Times New Roman" w:eastAsia="宋体" w:cs="Times New Roman"/>
                <w:i w:val="0"/>
                <w:color w:val="000000"/>
                <w:sz w:val="22"/>
                <w:szCs w:val="22"/>
                <w:highlight w:val="none"/>
                <w:u w:val="none"/>
              </w:rPr>
            </w:pPr>
            <w:r>
              <w:rPr>
                <w:rFonts w:hint="default" w:ascii="Times New Roman" w:hAnsi="Times New Roman" w:eastAsia="宋体" w:cs="Times New Roman"/>
                <w:i w:val="0"/>
                <w:color w:val="000000"/>
                <w:kern w:val="0"/>
                <w:sz w:val="22"/>
                <w:szCs w:val="22"/>
                <w:highlight w:val="none"/>
                <w:u w:val="none"/>
                <w:lang w:val="en-US" w:eastAsia="zh-CN" w:bidi="ar"/>
              </w:rPr>
              <w:t>9390</w:t>
            </w:r>
          </w:p>
        </w:tc>
        <w:tc>
          <w:tcPr>
            <w:tcW w:w="12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E0518">
            <w:pPr>
              <w:keepNext w:val="0"/>
              <w:keepLines w:val="0"/>
              <w:pageBreakBefore w:val="0"/>
              <w:kinsoku/>
              <w:wordWrap/>
              <w:overflowPunct/>
              <w:topLinePunct w:val="0"/>
              <w:autoSpaceDE/>
              <w:autoSpaceDN/>
              <w:bidi w:val="0"/>
              <w:adjustRightInd/>
              <w:snapToGrid/>
              <w:spacing w:line="260" w:lineRule="exact"/>
              <w:rPr>
                <w:rFonts w:hint="default" w:ascii="Times New Roman" w:hAnsi="Times New Roman" w:eastAsia="宋体" w:cs="Times New Roman"/>
                <w:i w:val="0"/>
                <w:color w:val="000000"/>
                <w:sz w:val="22"/>
                <w:szCs w:val="22"/>
                <w:highlight w:val="none"/>
                <w:u w:val="none"/>
              </w:rPr>
            </w:pPr>
          </w:p>
        </w:tc>
      </w:tr>
    </w:tbl>
    <w:p w14:paraId="58ACF5D8">
      <w:pPr>
        <w:keepNext w:val="0"/>
        <w:keepLines w:val="0"/>
        <w:pageBreakBefore w:val="0"/>
        <w:widowControl/>
        <w:kinsoku/>
        <w:wordWrap w:val="0"/>
        <w:overflowPunct/>
        <w:topLinePunct w:val="0"/>
        <w:autoSpaceDE/>
        <w:autoSpaceDN/>
        <w:bidi w:val="0"/>
        <w:adjustRightInd/>
        <w:snapToGrid/>
        <w:spacing w:line="260" w:lineRule="exact"/>
        <w:jc w:val="center"/>
        <w:textAlignment w:val="auto"/>
        <w:rPr>
          <w:rFonts w:hint="default" w:ascii="Times New Roman" w:hAnsi="Times New Roman" w:eastAsia="方正小标宋简体" w:cs="Times New Roman"/>
          <w:color w:val="auto"/>
          <w:kern w:val="0"/>
          <w:sz w:val="44"/>
          <w:szCs w:val="44"/>
          <w:highlight w:val="none"/>
        </w:rPr>
      </w:pPr>
    </w:p>
    <w:p w14:paraId="204BF6A9">
      <w:pPr>
        <w:keepNext w:val="0"/>
        <w:keepLines w:val="0"/>
        <w:widowControl/>
        <w:suppressLineNumbers w:val="0"/>
        <w:jc w:val="center"/>
        <w:textAlignment w:val="center"/>
        <w:rPr>
          <w:rFonts w:hint="default" w:ascii="Times New Roman" w:hAnsi="Times New Roman" w:eastAsia="宋体" w:cs="Times New Roman"/>
          <w:i w:val="0"/>
          <w:color w:val="000000"/>
          <w:kern w:val="0"/>
          <w:sz w:val="22"/>
          <w:szCs w:val="22"/>
          <w:highlight w:val="none"/>
          <w:u w:val="none"/>
          <w:lang w:val="en-US" w:eastAsia="zh-CN" w:bidi="ar"/>
        </w:rPr>
      </w:pPr>
    </w:p>
    <w:p w14:paraId="359AE8C6">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备注：1.根据《农业农村部办公厅 财政部办公厅关于加大工作力度持续实施好农业机械报废更新补贴政策的通知》（农办机〔2024〕4号）（以下简称4号文）、《农业农村部办公厅 国家发展改革委办公厅 财政部办公厅关于加大工作力度持续实施好农业机械报废更新补贴政策的补充通知》（农办机〔2024〕5号）（以下简称5号文）、《农业农村部办公厅 财政部办公厅 关于印发</w:t>
      </w:r>
      <w:r>
        <w:rPr>
          <w:rFonts w:hint="eastAsia" w:ascii="仿宋_GB2312" w:hAnsi="仿宋_GB2312" w:eastAsia="仿宋_GB2312" w:cs="仿宋_GB2312"/>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024—2026年全国通用类农业机械中央财政资金最高补贴额一览表〉的通知》（农办机〔2024〕6号）（以下简称6号文），以及</w:t>
      </w:r>
      <w:r>
        <w:rPr>
          <w:rFonts w:hint="default" w:ascii="Times New Roman" w:hAnsi="Times New Roman" w:eastAsia="仿宋_GB2312" w:cs="Times New Roman"/>
          <w:sz w:val="32"/>
          <w:szCs w:val="32"/>
          <w:highlight w:val="none"/>
          <w:lang w:val="en-US" w:eastAsia="zh-CN"/>
        </w:rPr>
        <w:t>河南省农业农村厅发布的2021—2023年农机购置补贴机具补贴额一览表</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第一、二、三、四批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公告等文件要求</w:t>
      </w:r>
      <w:r>
        <w:rPr>
          <w:rFonts w:hint="default" w:ascii="Times New Roman" w:hAnsi="Times New Roman" w:eastAsia="仿宋_GB2312" w:cs="Times New Roman"/>
          <w:color w:val="auto"/>
          <w:kern w:val="0"/>
          <w:sz w:val="32"/>
          <w:szCs w:val="32"/>
          <w:highlight w:val="none"/>
          <w:lang w:val="en-US" w:eastAsia="zh-CN"/>
        </w:rPr>
        <w:t>，确定</w:t>
      </w:r>
      <w:r>
        <w:rPr>
          <w:rFonts w:hint="eastAsia" w:ascii="Times New Roman" w:hAnsi="Times New Roman" w:eastAsia="仿宋_GB2312" w:cs="Times New Roman"/>
          <w:color w:val="auto"/>
          <w:kern w:val="0"/>
          <w:sz w:val="32"/>
          <w:szCs w:val="32"/>
          <w:highlight w:val="none"/>
          <w:lang w:val="en-US" w:eastAsia="zh-CN"/>
        </w:rPr>
        <w:t>本</w:t>
      </w:r>
      <w:r>
        <w:rPr>
          <w:rFonts w:hint="default" w:ascii="Times New Roman" w:hAnsi="Times New Roman" w:eastAsia="仿宋_GB2312" w:cs="Times New Roman"/>
          <w:color w:val="auto"/>
          <w:kern w:val="0"/>
          <w:sz w:val="32"/>
          <w:szCs w:val="32"/>
          <w:highlight w:val="none"/>
          <w:lang w:val="en-US" w:eastAsia="zh-CN"/>
        </w:rPr>
        <w:t>《河南省农机报废种类及补贴额一览表》。</w:t>
      </w:r>
    </w:p>
    <w:p w14:paraId="24D5CED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（1）拖拉机（20马力以下除外）、联合收割机、播种机、农用北斗辅助驾驶系统4种机具20个档次的报废补贴额，根据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4号文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附件1《拖拉机、三大粮食作物联合收割机等机具中央财政资金最高报废补贴额一览表》确定。</w:t>
      </w:r>
    </w:p>
    <w:p w14:paraId="3E423C2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（2）水稻插秧机、打（压）捆机、自走圆盘式青饲料收获机、谷物（粮食）干燥机、自走履带式油菜籽收获机5种机具14个档次的报废补贴额，根据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6号文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附件1《2024—2026年全国通用类农业机械中央财政资金最高补贴额一览表》相关档次补贴额的30%测算并取整到拾位。</w:t>
      </w:r>
    </w:p>
    <w:p w14:paraId="6C79897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3）花生收获机、饲料（草）粉碎机、玉米脱粒机、铡草机4种机具8个档次的报废补贴额，根据河南省农业农村厅发布的2021—2023年农机购置补贴机具补贴额一览表（第一、二、三、四批）公告中，同类型农机补贴额的30%测算并取整到拾位。</w:t>
      </w:r>
    </w:p>
    <w:p w14:paraId="0E3DED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（4）20马力以下拖拉机、联合收割机、播种机3种机具14个档次的报废并新购置同种类机具的报废补贴额，根据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5号文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附件《提高标准后的中央资金最高报废补贴额一览表》确定。</w:t>
      </w:r>
    </w:p>
    <w:p w14:paraId="30AA685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（5）水稻插秧机7个档次的报废并新购置同种类机具的报废补贴额，根据</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6号文</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附件1《2024—2026年全国通用类农业机械中央财政资金最高补贴额一览表》相关档次补贴额的30%再乘以1.5测算并取整到拾位。</w:t>
      </w:r>
    </w:p>
    <w:p w14:paraId="0EE5A478">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2.农用北斗辅助驾驶系统报废补贴申领要以购置同种类新设备为前提。</w:t>
      </w:r>
    </w:p>
    <w:p w14:paraId="57B3A8B7">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3.报废并新购置同种类机具申请报废补贴的，以发票为依据。</w:t>
      </w:r>
    </w:p>
    <w:p w14:paraId="151D46A0">
      <w:pPr>
        <w:keepNext w:val="0"/>
        <w:keepLines w:val="0"/>
        <w:pageBreakBefore w:val="0"/>
        <w:widowControl/>
        <w:kinsoku/>
        <w:wordWrap w:val="0"/>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4.本表中补贴种类和补贴额执行时间为2024年6月21日至2024年12月31日，如有变动，另行通知。对2024年6月21日起提交报废补贴申请的，按本表所确定的报废补贴标准执行，对已领取报废补贴的，补齐差额部分补贴。</w:t>
      </w:r>
    </w:p>
    <w:p w14:paraId="2776B3DA">
      <w:pPr>
        <w:keepNext w:val="0"/>
        <w:keepLines w:val="0"/>
        <w:pageBreakBefore w:val="0"/>
        <w:widowControl/>
        <w:kinsoku/>
        <w:wordWrap w:val="0"/>
        <w:overflowPunct/>
        <w:topLinePunct w:val="0"/>
        <w:autoSpaceDE/>
        <w:autoSpaceDN/>
        <w:bidi w:val="0"/>
        <w:adjustRightInd/>
        <w:snapToGrid/>
        <w:spacing w:line="520" w:lineRule="exact"/>
        <w:jc w:val="both"/>
        <w:textAlignment w:val="auto"/>
        <w:rPr>
          <w:rFonts w:hint="default" w:ascii="Times New Roman" w:hAnsi="Times New Roman" w:eastAsia="黑体" w:cs="Times New Roman"/>
          <w:color w:val="auto"/>
          <w:kern w:val="0"/>
          <w:sz w:val="32"/>
          <w:szCs w:val="32"/>
          <w:highlight w:val="none"/>
          <w:lang w:val="en-US" w:eastAsia="zh-CN"/>
        </w:rPr>
      </w:pPr>
    </w:p>
    <w:p w14:paraId="0EFA7A7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6AA7BB-2100-4356-AE48-6335B705F9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2760CA27-D8DF-4F82-8E34-EEA2D5BD3CAB}"/>
  </w:font>
  <w:font w:name="方正小标宋简体">
    <w:panose1 w:val="02000000000000000000"/>
    <w:charset w:val="86"/>
    <w:family w:val="auto"/>
    <w:pitch w:val="default"/>
    <w:sig w:usb0="00000001" w:usb1="08000000" w:usb2="00000000" w:usb3="00000000" w:csb0="00040000" w:csb1="00000000"/>
    <w:embedRegular r:id="rId3" w:fontKey="{0BB6A989-CDD1-4540-B141-42CEAEB9F0F0}"/>
  </w:font>
  <w:font w:name="仿宋_GB2312">
    <w:panose1 w:val="02010609030101010101"/>
    <w:charset w:val="86"/>
    <w:family w:val="auto"/>
    <w:pitch w:val="default"/>
    <w:sig w:usb0="00000001" w:usb1="080E0000" w:usb2="00000000" w:usb3="00000000" w:csb0="00040000" w:csb1="00000000"/>
    <w:embedRegular r:id="rId4" w:fontKey="{CA308752-5CD4-44C2-8DFB-FDFD518206A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215B80"/>
    <w:rsid w:val="6B215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2024-12-20T01:57:00Z</dcterms:created>
  <dc:creator>微醺</dc:creator>
  <cp:lastModifiedBy>微醺</cp:lastModifiedBy>
  <dcterms:modified xsi:type="dcterms:W3CDTF">2024-12-20T01:57:44Z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0C4CAA352AB641E6B6D7D110037DCB37_11</vt:lpwstr>
  </property>
</Properties>
</file>