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eastAsia="zh-CN"/>
        </w:rPr>
      </w:pPr>
    </w:p>
    <w:p>
      <w:pPr>
        <w:pStyle w:val="4"/>
        <w:bidi w:val="0"/>
        <w:jc w:val="center"/>
        <w:rPr>
          <w:rFonts w:hint="eastAsia"/>
          <w:lang w:eastAsia="zh-CN"/>
        </w:rPr>
      </w:pPr>
    </w:p>
    <w:p>
      <w:pPr>
        <w:rPr>
          <w:rFonts w:hint="eastAsia"/>
          <w:lang w:eastAsia="zh-CN"/>
        </w:rPr>
      </w:pPr>
    </w:p>
    <w:p>
      <w:pPr>
        <w:rPr>
          <w:rFonts w:hint="eastAsia"/>
          <w:lang w:eastAsia="zh-CN"/>
        </w:rPr>
      </w:pPr>
    </w:p>
    <w:p>
      <w:pPr>
        <w:pStyle w:val="4"/>
        <w:keepNext/>
        <w:keepLines/>
        <w:pageBreakBefore w:val="0"/>
        <w:widowControl w:val="0"/>
        <w:kinsoku/>
        <w:wordWrap/>
        <w:overflowPunct/>
        <w:topLinePunct w:val="0"/>
        <w:autoSpaceDE/>
        <w:autoSpaceDN/>
        <w:bidi w:val="0"/>
        <w:adjustRightInd/>
        <w:snapToGrid/>
        <w:spacing w:before="260"/>
        <w:jc w:val="center"/>
        <w:textAlignment w:val="auto"/>
        <w:rPr>
          <w:rFonts w:hint="default" w:ascii="仿宋" w:hAnsi="仿宋" w:eastAsia="仿宋" w:cs="仿宋"/>
          <w:b w:val="0"/>
          <w:bCs w:val="0"/>
          <w:kern w:val="2"/>
          <w:sz w:val="32"/>
          <w:szCs w:val="32"/>
          <w:lang w:val="en-US" w:eastAsia="zh-CN" w:bidi="ar-SA"/>
        </w:rPr>
      </w:pPr>
      <w:bookmarkStart w:id="0" w:name="_GoBack"/>
      <w:r>
        <w:rPr>
          <w:rFonts w:hint="eastAsia" w:ascii="仿宋" w:hAnsi="仿宋" w:eastAsia="仿宋" w:cs="仿宋"/>
          <w:b w:val="0"/>
          <w:bCs w:val="0"/>
          <w:kern w:val="2"/>
          <w:sz w:val="32"/>
          <w:szCs w:val="32"/>
          <w:lang w:val="en-US" w:eastAsia="zh-CN" w:bidi="ar-SA"/>
        </w:rPr>
        <w:t>沈国投〔2023〕58号</w:t>
      </w:r>
    </w:p>
    <w:bookmarkEnd w:id="0"/>
    <w:p>
      <w:pPr>
        <w:pStyle w:val="4"/>
        <w:bidi w:val="0"/>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沈丘国有投资集团有限公司</w:t>
      </w:r>
    </w:p>
    <w:p>
      <w:pPr>
        <w:pStyle w:val="4"/>
        <w:bidi w:val="0"/>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新时代中国特色社会主义思想和党的二十大精神，按照中共中央、国务院法治政府建设及我县2023年法治政府建设工作要求，我公司深入学习宣传贯彻习近平法治思想，深化国企改革，强化国企党建，多措并举，扎实推进法治政府和法治国企建设工作。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sz w:val="32"/>
          <w:szCs w:val="32"/>
          <w:lang w:val="en-US" w:eastAsia="zh-CN"/>
        </w:rPr>
        <w:t>一、履职情况</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一是加强法治引领。</w:t>
      </w:r>
      <w:r>
        <w:rPr>
          <w:rFonts w:hint="eastAsia" w:ascii="仿宋_GB2312" w:hAnsi="仿宋_GB2312" w:eastAsia="仿宋_GB2312" w:cs="仿宋_GB2312"/>
          <w:kern w:val="2"/>
          <w:sz w:val="32"/>
          <w:szCs w:val="32"/>
          <w:lang w:val="en-US" w:eastAsia="zh-CN" w:bidi="ar-SA"/>
        </w:rPr>
        <w:t>公司党支部书记贾俊峰同志始终坚持以习近平法治思想为指导，把深入贯彻落实习近平总书记全面依法治国新理念新思想新战略作为重要政治任务，深刻领会蕴含其中的科学内涵、精神实质、实践要求，将法治建设摆在全局工作的重要位置。</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二是强化学习。</w:t>
      </w:r>
      <w:r>
        <w:rPr>
          <w:rFonts w:hint="eastAsia" w:ascii="仿宋_GB2312" w:hAnsi="仿宋_GB2312" w:eastAsia="仿宋_GB2312" w:cs="仿宋_GB2312"/>
          <w:kern w:val="2"/>
          <w:sz w:val="32"/>
          <w:szCs w:val="32"/>
          <w:lang w:val="en-US" w:eastAsia="zh-CN" w:bidi="ar-SA"/>
        </w:rPr>
        <w:t>公司党支部书记贾俊峰严格落实“第一议题”制度，将习近平法治思想与党的二十大精神结合，在每月组织的公司全体干部职工集中学习中，将习近平法治思想作为重要学习内容，以法治示范创建工作为契机，不断加强全体干部职工对公司运营的法治学习，积极引导干部职工研究学习《信访条例》《安全生产法》等法律法规，提高自身法治素养，做好懂法、用法的牵头者；切实提高全体党员干部职工的政治判断力、政治领悟力、政治执行力，进一步使党员干部职工增强“四个意识”、坚定“四个自信”做到“两个维护”，推动习近平法治思想贯彻落实到国有企业改革发展全过程，助力我县现代化法治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cs="黑体"/>
          <w:sz w:val="32"/>
          <w:szCs w:val="32"/>
          <w:lang w:val="en-US" w:eastAsia="zh-CN"/>
        </w:rPr>
        <w:t>二、法治政府建设的主要举措和成效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一是强化组织领导，压实工作责任。</w:t>
      </w:r>
      <w:r>
        <w:rPr>
          <w:rFonts w:hint="eastAsia" w:ascii="仿宋_GB2312" w:hAnsi="仿宋_GB2312" w:eastAsia="仿宋_GB2312" w:cs="仿宋_GB2312"/>
          <w:kern w:val="2"/>
          <w:sz w:val="32"/>
          <w:szCs w:val="32"/>
          <w:lang w:val="en-US" w:eastAsia="zh-CN" w:bidi="ar-SA"/>
        </w:rPr>
        <w:t>“党政军民学，东西南北中，党是领导一切的。”公司坚持党对法治建设的领导核心作用，党支部认真贯彻落实中央、省、市、县关于法治企业建设的工作要求，坚持以推进国有企业依法治企为主线，突出领导带头，坚持将法治政府建设与经济社会发展同部署，同推进、同督促、同考核，开创了公司全面依法治企的新局面。作为县级投融资平台公司，今年公司进一步厘清政府职能和市场的关系，在市场化转型中积极向现代化企业转型发展，逐步淡化如住建、交通、水利、住房保障等政府主管部门的职能，且现代化企业架构已经初步形成，公司运营更加科学、权责更加协同，避免了政府职能错位、越位、缺位的现象，进一步推动公司与市场的有效结合。同时，公司积极落实“一把手谈法治”，全面提升法治宣传成效，将法治企业建设列入全局重要议事日程，成立了以公司党支部书记贾俊峰为组长的普法领导小组，定期听取普法和法治建设情况汇报，关心支持法治建设工作，重视法制队伍建设，研究解决有关重大问题，将法治建设纳入年度绩效考核。其次，公司进一步全面落实权责清单制度，市场化转型中避免产生职能错位、越位、缺位的现象。公司年度绩效考核增加权责考核评估，全面落实权责清单公开、动态管理，抓好国家法律法规立改废释情况、机构和职能调整、取消、下放行政许可事项的情况，并严格落实市场准入负面清单制度，自查违背市场准入负面清单典型案例，要求部门学习，对权责清单时常更新完善及时公开，减少项目施工单位多跑腿的情况发生，确保权责清单的权威性、时效性和准确性。</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二是健全管理机制，推进民主决策。</w:t>
      </w:r>
      <w:r>
        <w:rPr>
          <w:rFonts w:hint="eastAsia" w:ascii="仿宋_GB2312" w:hAnsi="仿宋_GB2312" w:eastAsia="仿宋_GB2312" w:cs="仿宋_GB2312"/>
          <w:kern w:val="2"/>
          <w:sz w:val="32"/>
          <w:szCs w:val="32"/>
          <w:lang w:val="en-US" w:eastAsia="zh-CN" w:bidi="ar-SA"/>
        </w:rPr>
        <w:t>公司推动实施《河南省重大行政决策程序规定》，认真执行相关考核标准，进一步健全完善决策程序，对所有涉及重大决策工作，以采取公司党支部会、工作例会、审批例会等形式进行集体决策和民主决策，充分听取法律工作机构意见，相关涉及群众利益的重要事项，履行公众参与、专家论证、风险评估、合法性审查和集体讨论决定等重大决策程序，坚决落实重大决策集体决定制度。今年以来，领导小组多次听取全公司法治建设情况汇报，认真落实业务例会制度，对各部门提交的56次议题，发扬民主、群策群力，开展集体讨论和研究，把公司各项工作纳入法治化轨道。同时，我公司聘请了1名常年法律顾问，充分发挥其工作职能作用，贯彻好国家关于法律顾问工作的有关要求。在重大决策中，公司将法律顾问全方面参与依法治企各项工作，在应复应诉、规范性文件论证、重大事项决策、案件争议处理等方面广泛采纳法律顾问提出的法律意见，作为依法决策的重要程序，充分发挥其法律智库作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三是完善公司突发应急应对制度。</w:t>
      </w:r>
      <w:r>
        <w:rPr>
          <w:rFonts w:hint="eastAsia" w:ascii="仿宋_GB2312" w:hAnsi="仿宋_GB2312" w:eastAsia="仿宋_GB2312" w:cs="仿宋_GB2312"/>
          <w:kern w:val="2"/>
          <w:sz w:val="32"/>
          <w:szCs w:val="32"/>
          <w:lang w:val="en-US" w:eastAsia="zh-CN" w:bidi="ar-SA"/>
        </w:rPr>
        <w:t>公司严格执行上级要求的突发事件标准，加强应急管理监督考核工作，公司重新修改制定突发事件应急规章制度，针对高风险部位和施工场地高危场所进行预案演练，提升了应急实战能力。公司针对上级有关应急管理工作的要求，及时做好信息报送和应急处理，并向公司部门推广开展应急管理工作的典型经验做法，认真分析存在的问题，做好相关整改工作。公司每月组织相关应急风险隐患排查工作，针对容易发生特别重大、重大突发事件的危险源、危险区域开展调查登记和风险评估，同时公司相关部门针对各类风险隐患的数量及状况进行汇总造册，为日常预防和应急处理提供依据。其次，公司深入开展应急知识科普宣传，结合“防灾减灾日”、《突发事件应对法》等各类主题宣传日，通过现场学习会、发放宣传单、微信群、视频课等线上、线下同步进行方式，认真组织开展形式多样的宣传教育活动，进一步丰富宣传手段和宣传形式，切实增强宣传效果，不断提高公司全体党员干部职工及相关施工单位的防灾减灾意识、自救互救能力。</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四是加强信访矛盾调处化解工作。</w:t>
      </w:r>
      <w:r>
        <w:rPr>
          <w:rFonts w:hint="eastAsia" w:ascii="仿宋_GB2312" w:hAnsi="仿宋_GB2312" w:eastAsia="仿宋_GB2312" w:cs="仿宋_GB2312"/>
          <w:kern w:val="2"/>
          <w:sz w:val="32"/>
          <w:szCs w:val="32"/>
          <w:lang w:val="en-US" w:eastAsia="zh-CN" w:bidi="ar-SA"/>
        </w:rPr>
        <w:t>公司严抓信访工作，领导班子始终把信访工作列入公司重要议事议程，并作为工作的重要内容切实抓紧抓好。公司成立了由党支部书记贾俊峰为组长的信访工作领导小组，坚持每月、每季度开展信访工作推进会、信访专题会，研究制定信访工作方案，解决信访工作重大事项。同时按照“谁主管、谁负责”的工作原则，实行领导分工负责制，主要领导负总责，分管领导亲自抓，部门领导具体抓的形式，使信访工作职责更加明确，各负其责，限期消除化解，强化解决信访问题力度，确保社会大局稳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 w:hAnsi="仿宋" w:eastAsia="仿宋" w:cs="仿宋"/>
          <w:kern w:val="0"/>
          <w:sz w:val="32"/>
          <w:szCs w:val="32"/>
          <w:lang w:val="en-US" w:eastAsia="zh-CN" w:bidi="ar-SA"/>
        </w:rPr>
      </w:pPr>
      <w:r>
        <w:rPr>
          <w:rFonts w:hint="eastAsia" w:ascii="黑体" w:hAnsi="黑体" w:eastAsia="黑体" w:cs="黑体"/>
          <w:sz w:val="32"/>
          <w:szCs w:val="32"/>
          <w:lang w:val="en-US" w:eastAsia="zh-CN"/>
        </w:rPr>
        <w:t>三、存在的不足、原因和问题整改情况</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一是专业人才队伍有待进一步加强。</w:t>
      </w:r>
      <w:r>
        <w:rPr>
          <w:rFonts w:hint="eastAsia" w:ascii="仿宋_GB2312" w:hAnsi="仿宋_GB2312" w:eastAsia="仿宋_GB2312" w:cs="仿宋_GB2312"/>
          <w:kern w:val="2"/>
          <w:sz w:val="32"/>
          <w:szCs w:val="32"/>
          <w:lang w:val="en-US" w:eastAsia="zh-CN" w:bidi="ar-SA"/>
        </w:rPr>
        <w:t>具备专业法律知识的人才较少，运用法治思维和法治方式开展工作的能力还需进一步加强。少数工作人员对于国家新出台的法律法规仍不够熟悉，法律意识和能力有待加强。</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二是法治宣传教育工作方面存在不足。</w:t>
      </w:r>
      <w:r>
        <w:rPr>
          <w:rFonts w:hint="eastAsia" w:ascii="仿宋_GB2312" w:hAnsi="仿宋_GB2312" w:eastAsia="仿宋_GB2312" w:cs="仿宋_GB2312"/>
          <w:kern w:val="2"/>
          <w:sz w:val="32"/>
          <w:szCs w:val="32"/>
          <w:lang w:val="en-US" w:eastAsia="zh-CN" w:bidi="ar-SA"/>
        </w:rPr>
        <w:t>法制宣传力度和投入不足，基层普法阵地建设不及时、不全面，普法人员队伍工作接续性不够强，宣传效果有待进一步提升。部分普法内容枯燥乏味，没有结合具体案例、结合群众的实际需求进行法律宣传，导致群众厌倦、产生抵触情绪;农村人口分散、流动性大、群众文化素质低等因素，导致普法教育组织难度大、实施效果不明显。</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认真履行法治建设第一责任人职责，不断加强自身依法治理能力，提高我公司依法决策水平，按照我公司创建法治建设示范国有企业实施方案，认真组织全公司职工学法、用法、普法。加领导干部带头学法、用法，我不断加强公司运营法治学习，认真研究学习了《信访条例》《安全生产法》等法律法规，提高自身法治素养，做好懂法、用法的牵头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四、下一步法治政府建设的初步安排</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一是加强法治国企建设。</w:t>
      </w:r>
      <w:r>
        <w:rPr>
          <w:rFonts w:hint="eastAsia" w:ascii="仿宋_GB2312" w:hAnsi="仿宋_GB2312" w:eastAsia="仿宋_GB2312" w:cs="仿宋_GB2312"/>
          <w:kern w:val="2"/>
          <w:sz w:val="32"/>
          <w:szCs w:val="32"/>
          <w:lang w:val="en-US" w:eastAsia="zh-CN" w:bidi="ar-SA"/>
        </w:rPr>
        <w:t>强化制度建设，精筒优化权责清单，严格依法依规决策，依法提升国资发展；完善公司章程，建立健全企业合规管理工作机制，突出重点领域管理，进一步引导国有企业牢固树立“依法治企”“诚信经营”等理念，提高企业管理规范化水平。</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二是加大力度推行公司律师制度。</w:t>
      </w:r>
      <w:r>
        <w:rPr>
          <w:rFonts w:hint="eastAsia" w:ascii="仿宋_GB2312" w:hAnsi="仿宋_GB2312" w:eastAsia="仿宋_GB2312" w:cs="仿宋_GB2312"/>
          <w:kern w:val="2"/>
          <w:sz w:val="32"/>
          <w:szCs w:val="32"/>
          <w:lang w:val="en-US" w:eastAsia="zh-CN" w:bidi="ar-SA"/>
        </w:rPr>
        <w:t>鼓励引导企业充实完善专业法务人员，增加专职法律顾问人数和比例: 指导企业做好公司律师人才培养，探索建立企业总法律顾问市场化选聘机制。</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三是拓宽普法创新渠道。</w:t>
      </w:r>
      <w:r>
        <w:rPr>
          <w:rFonts w:hint="eastAsia" w:ascii="仿宋_GB2312" w:hAnsi="仿宋_GB2312" w:eastAsia="仿宋_GB2312" w:cs="仿宋_GB2312"/>
          <w:kern w:val="2"/>
          <w:sz w:val="32"/>
          <w:szCs w:val="32"/>
          <w:lang w:val="en-US" w:eastAsia="zh-CN" w:bidi="ar-SA"/>
        </w:rPr>
        <w:t>深入和拓展“法律进企业”的活动内涵，针对受众心理，拓宽普法渠道，发挥国有企业优势，拓展宣传阵地。积极与上级部门密切配合，面向企业，社区，服务受众，与普法对象面对面交流互动，提高普法针对性和实效性。</w:t>
      </w:r>
    </w:p>
    <w:p>
      <w:pPr>
        <w:numPr>
          <w:ilvl w:val="0"/>
          <w:numId w:val="0"/>
        </w:numPr>
        <w:ind w:firstLine="640" w:firstLineChars="200"/>
        <w:jc w:val="left"/>
        <w:rPr>
          <w:rFonts w:hint="eastAsia"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GQ3ZjYyYjJiNmU3Mzc2YzE5YjhmYzMwMmZlMGMifQ=="/>
  </w:docVars>
  <w:rsids>
    <w:rsidRoot w:val="300D1C18"/>
    <w:rsid w:val="05B35E71"/>
    <w:rsid w:val="0A880DBB"/>
    <w:rsid w:val="0E0771FC"/>
    <w:rsid w:val="27C32548"/>
    <w:rsid w:val="300D1C18"/>
    <w:rsid w:val="437F46F7"/>
    <w:rsid w:val="54C6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420" w:leftChars="200" w:firstLine="420" w:firstLineChars="20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left="420" w:leftChars="200"/>
    </w:pPr>
    <w:rPr>
      <w:rFonts w:ascii="Times New Roman" w:hAnsi="Times New Roman"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2023-12-15T09:12:00Z</dcterms:created>
  <dc:creator>热忱</dc:creator>
  <cp:lastModifiedBy>热忱</cp:lastModifiedBy>
  <cp:lastPrinted>2023-12-20T01:11:13Z</cp:lastPrinted>
  <dcterms:modified xsi:type="dcterms:W3CDTF">2023-12-20T01:20:15Z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0E7061D8840A476B8219652B4E9A454A_11</vt:lpwstr>
  </property>
</Properties>
</file>