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rPr>
          <w:rFonts w:hint="eastAsia"/>
          <w:sz w:val="32"/>
          <w:szCs w:val="32"/>
          <w:lang w:eastAsia="zh-CN"/>
        </w:rPr>
      </w:pPr>
    </w:p>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石政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105</w:t>
      </w:r>
      <w:r>
        <w:rPr>
          <w:rFonts w:hint="eastAsia" w:ascii="仿宋_GB2312" w:hAnsi="仿宋_GB2312" w:eastAsia="仿宋_GB2312" w:cs="仿宋_GB2312"/>
          <w:sz w:val="32"/>
          <w:szCs w:val="32"/>
          <w:lang w:val="en-US" w:eastAsia="zh-CN"/>
        </w:rPr>
        <w:t>号</w:t>
      </w:r>
    </w:p>
    <w:p>
      <w:pPr>
        <w:pStyle w:val="3"/>
        <w:bidi w:val="0"/>
        <w:jc w:val="both"/>
        <w:rPr>
          <w:rFonts w:hint="eastAsia" w:ascii="仿宋_GB2312" w:hAnsi="仿宋_GB2312" w:eastAsia="仿宋_GB2312" w:cs="仿宋_GB2312"/>
          <w:sz w:val="32"/>
          <w:szCs w:val="32"/>
          <w:lang w:val="en-US" w:eastAsia="zh-CN"/>
        </w:rPr>
      </w:pPr>
    </w:p>
    <w:p>
      <w:pPr>
        <w:pStyle w:val="3"/>
        <w:bidi w:val="0"/>
        <w:ind w:firstLine="2209" w:firstLineChars="500"/>
        <w:jc w:val="both"/>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石槽集乡人民政府</w:t>
      </w:r>
    </w:p>
    <w:p>
      <w:pPr>
        <w:pStyle w:val="3"/>
        <w:bidi w:val="0"/>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lang w:val="en-US" w:eastAsia="zh-CN"/>
        </w:rPr>
        <w:t>关于</w:t>
      </w:r>
      <w:r>
        <w:rPr>
          <w:rFonts w:hint="eastAsia" w:ascii="仿宋_GB2312" w:hAnsi="仿宋_GB2312" w:eastAsia="仿宋_GB2312" w:cs="仿宋_GB2312"/>
          <w:sz w:val="44"/>
          <w:szCs w:val="44"/>
        </w:rPr>
        <w:t>2023 年度法治政府建设情况的报告</w:t>
      </w:r>
    </w:p>
    <w:p>
      <w:pPr>
        <w:pStyle w:val="2"/>
        <w:ind w:left="0" w:leftChars="0"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中共沈丘县委、沈丘县人民政府：</w:t>
      </w:r>
    </w:p>
    <w:p>
      <w:pPr>
        <w:keepNext w:val="0"/>
        <w:keepLines w:val="0"/>
        <w:widowControl/>
        <w:suppressLineNumbers w:val="0"/>
        <w:ind w:firstLine="640" w:firstLineChars="200"/>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i w:val="0"/>
          <w:iCs w:val="0"/>
          <w:caps w:val="0"/>
          <w:color w:val="333333"/>
          <w:spacing w:val="0"/>
          <w:sz w:val="32"/>
          <w:szCs w:val="32"/>
          <w:shd w:val="clear" w:fill="FFFFFF"/>
        </w:rPr>
        <w:t>202</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年，</w:t>
      </w:r>
      <w:r>
        <w:rPr>
          <w:rFonts w:hint="eastAsia" w:ascii="仿宋_GB2312" w:hAnsi="仿宋_GB2312" w:eastAsia="仿宋_GB2312" w:cs="仿宋_GB2312"/>
          <w:i w:val="0"/>
          <w:iCs w:val="0"/>
          <w:caps w:val="0"/>
          <w:color w:val="333333"/>
          <w:spacing w:val="0"/>
          <w:sz w:val="32"/>
          <w:szCs w:val="32"/>
          <w:shd w:val="clear" w:fill="FFFFFF"/>
          <w:lang w:val="en-US" w:eastAsia="zh-CN"/>
        </w:rPr>
        <w:t>石槽集乡</w:t>
      </w:r>
      <w:r>
        <w:rPr>
          <w:rFonts w:hint="eastAsia" w:ascii="仿宋_GB2312" w:hAnsi="仿宋_GB2312" w:eastAsia="仿宋_GB2312" w:cs="仿宋_GB2312"/>
          <w:i w:val="0"/>
          <w:iCs w:val="0"/>
          <w:caps w:val="0"/>
          <w:color w:val="333333"/>
          <w:spacing w:val="0"/>
          <w:sz w:val="32"/>
          <w:szCs w:val="32"/>
          <w:shd w:val="clear" w:fill="FFFFFF"/>
        </w:rPr>
        <w:t>坚持以习近平新时代中国特色社会主义思想为引领，深入贯彻落实习近平法治思想，以创建法治政府建设示范</w:t>
      </w:r>
      <w:r>
        <w:rPr>
          <w:rFonts w:hint="eastAsia" w:ascii="仿宋_GB2312" w:hAnsi="仿宋_GB2312" w:eastAsia="仿宋_GB2312" w:cs="仿宋_GB2312"/>
          <w:i w:val="0"/>
          <w:iCs w:val="0"/>
          <w:caps w:val="0"/>
          <w:color w:val="333333"/>
          <w:spacing w:val="0"/>
          <w:sz w:val="32"/>
          <w:szCs w:val="32"/>
          <w:shd w:val="clear" w:fill="FFFFFF"/>
          <w:lang w:val="en-US" w:eastAsia="zh-CN"/>
        </w:rPr>
        <w:t>乡</w:t>
      </w:r>
      <w:r>
        <w:rPr>
          <w:rFonts w:hint="eastAsia" w:ascii="仿宋_GB2312" w:hAnsi="仿宋_GB2312" w:eastAsia="仿宋_GB2312" w:cs="仿宋_GB2312"/>
          <w:i w:val="0"/>
          <w:iCs w:val="0"/>
          <w:caps w:val="0"/>
          <w:color w:val="333333"/>
          <w:spacing w:val="0"/>
          <w:sz w:val="32"/>
          <w:szCs w:val="32"/>
          <w:shd w:val="clear" w:fill="FFFFFF"/>
        </w:rPr>
        <w:t>为抓手，全面履行政府职能，坚持科学民主决策，保障执法司法公正，广泛推进普法守法，为全方位推动</w:t>
      </w:r>
      <w:r>
        <w:rPr>
          <w:rFonts w:hint="eastAsia" w:ascii="仿宋_GB2312" w:hAnsi="仿宋_GB2312" w:eastAsia="仿宋_GB2312" w:cs="仿宋_GB2312"/>
          <w:i w:val="0"/>
          <w:iCs w:val="0"/>
          <w:caps w:val="0"/>
          <w:color w:val="333333"/>
          <w:spacing w:val="0"/>
          <w:sz w:val="32"/>
          <w:szCs w:val="32"/>
          <w:shd w:val="clear" w:fill="FFFFFF"/>
          <w:lang w:val="en-US" w:eastAsia="zh-CN"/>
        </w:rPr>
        <w:t>石槽乡</w:t>
      </w:r>
      <w:r>
        <w:rPr>
          <w:rFonts w:hint="eastAsia" w:ascii="仿宋_GB2312" w:hAnsi="仿宋_GB2312" w:eastAsia="仿宋_GB2312" w:cs="仿宋_GB2312"/>
          <w:i w:val="0"/>
          <w:iCs w:val="0"/>
          <w:caps w:val="0"/>
          <w:color w:val="333333"/>
          <w:spacing w:val="0"/>
          <w:sz w:val="32"/>
          <w:szCs w:val="32"/>
          <w:shd w:val="clear" w:fill="FFFFFF"/>
        </w:rPr>
        <w:t>高质量发展筑造了坚实的法治保障。</w:t>
      </w:r>
      <w:r>
        <w:rPr>
          <w:rFonts w:hint="eastAsia" w:ascii="仿宋_GB2312" w:hAnsi="仿宋_GB2312" w:eastAsia="仿宋_GB2312" w:cs="仿宋_GB2312"/>
          <w:b w:val="0"/>
          <w:bCs w:val="0"/>
          <w:color w:val="000000"/>
          <w:kern w:val="0"/>
          <w:sz w:val="32"/>
          <w:szCs w:val="32"/>
          <w:lang w:val="en-US" w:eastAsia="zh-CN" w:bidi="ar"/>
        </w:rPr>
        <w:t>现将2023年度法治政府建设工作报告如下：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3" w:firstLineChars="200"/>
        <w:jc w:val="both"/>
        <w:rPr>
          <w:rFonts w:hint="eastAsia" w:ascii="仿宋_GB2312" w:hAnsi="仿宋_GB2312" w:eastAsia="仿宋_GB2312" w:cs="仿宋_GB2312"/>
          <w:i w:val="0"/>
          <w:iCs w:val="0"/>
          <w:caps w:val="0"/>
          <w:color w:val="333333"/>
          <w:spacing w:val="0"/>
          <w:sz w:val="32"/>
          <w:szCs w:val="32"/>
          <w:lang w:val="en-US" w:eastAsia="zh-CN"/>
        </w:rPr>
      </w:pPr>
      <w:r>
        <w:rPr>
          <w:rStyle w:val="7"/>
          <w:rFonts w:hint="eastAsia" w:ascii="仿宋_GB2312" w:hAnsi="仿宋_GB2312" w:eastAsia="仿宋_GB2312" w:cs="仿宋_GB2312"/>
          <w:i w:val="0"/>
          <w:iCs w:val="0"/>
          <w:caps w:val="0"/>
          <w:color w:val="333333"/>
          <w:spacing w:val="0"/>
          <w:sz w:val="32"/>
          <w:szCs w:val="32"/>
          <w:shd w:val="clear" w:fill="FFFFFF"/>
        </w:rPr>
        <w:t>一、党政主要负责人履行推进法治建设第一责任人职责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3"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（一）引领习近平法治思想学习热潮</w:t>
      </w:r>
      <w:r>
        <w:rPr>
          <w:rFonts w:hint="eastAsia" w:ascii="仿宋_GB2312" w:hAnsi="仿宋_GB2312" w:eastAsia="仿宋_GB2312" w:cs="仿宋_GB2312"/>
          <w:b/>
          <w:bCs/>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乡党</w:t>
      </w:r>
      <w:r>
        <w:rPr>
          <w:rFonts w:hint="eastAsia" w:ascii="仿宋_GB2312" w:hAnsi="仿宋_GB2312" w:eastAsia="仿宋_GB2312" w:cs="仿宋_GB2312"/>
          <w:i w:val="0"/>
          <w:iCs w:val="0"/>
          <w:caps w:val="0"/>
          <w:color w:val="333333"/>
          <w:spacing w:val="0"/>
          <w:sz w:val="32"/>
          <w:szCs w:val="32"/>
          <w:shd w:val="clear" w:fill="FFFFFF"/>
        </w:rPr>
        <w:t>委、政府高度重视习近平法治思想的学习，将其纳入党委理论学习中心组必学内容，并督促</w:t>
      </w:r>
      <w:r>
        <w:rPr>
          <w:rFonts w:hint="eastAsia" w:ascii="仿宋_GB2312" w:hAnsi="仿宋_GB2312" w:eastAsia="仿宋_GB2312" w:cs="仿宋_GB2312"/>
          <w:i w:val="0"/>
          <w:iCs w:val="0"/>
          <w:caps w:val="0"/>
          <w:color w:val="333333"/>
          <w:spacing w:val="0"/>
          <w:sz w:val="32"/>
          <w:szCs w:val="32"/>
          <w:shd w:val="clear" w:fill="FFFFFF"/>
          <w:lang w:val="en-US" w:eastAsia="zh-CN"/>
        </w:rPr>
        <w:t>辖区各行政村</w:t>
      </w:r>
      <w:r>
        <w:rPr>
          <w:rFonts w:hint="eastAsia" w:ascii="仿宋_GB2312" w:hAnsi="仿宋_GB2312" w:eastAsia="仿宋_GB2312" w:cs="仿宋_GB2312"/>
          <w:i w:val="0"/>
          <w:iCs w:val="0"/>
          <w:caps w:val="0"/>
          <w:color w:val="333333"/>
          <w:spacing w:val="0"/>
          <w:sz w:val="32"/>
          <w:szCs w:val="32"/>
          <w:shd w:val="clear" w:fill="FFFFFF"/>
        </w:rPr>
        <w:t>将习近平法治思想纳入党组学法计划；</w:t>
      </w:r>
      <w:r>
        <w:rPr>
          <w:rFonts w:hint="eastAsia" w:ascii="仿宋_GB2312" w:hAnsi="仿宋_GB2312" w:eastAsia="仿宋_GB2312" w:cs="仿宋_GB2312"/>
          <w:i w:val="0"/>
          <w:iCs w:val="0"/>
          <w:caps w:val="0"/>
          <w:color w:val="333333"/>
          <w:spacing w:val="0"/>
          <w:sz w:val="32"/>
          <w:szCs w:val="32"/>
          <w:shd w:val="clear" w:fill="FFFFFF"/>
          <w:lang w:val="en-US" w:eastAsia="zh-CN"/>
        </w:rPr>
        <w:t>乡党委组织全体干部</w:t>
      </w:r>
      <w:r>
        <w:rPr>
          <w:rFonts w:hint="eastAsia" w:ascii="仿宋_GB2312" w:hAnsi="仿宋_GB2312" w:eastAsia="仿宋_GB2312" w:cs="仿宋_GB2312"/>
          <w:i w:val="0"/>
          <w:iCs w:val="0"/>
          <w:caps w:val="0"/>
          <w:color w:val="333333"/>
          <w:spacing w:val="0"/>
          <w:sz w:val="32"/>
          <w:szCs w:val="32"/>
          <w:shd w:val="clear" w:fill="FFFFFF"/>
        </w:rPr>
        <w:t>围绕《习近平法治思想学习纲要》，开展交流研讨；推动领导干部带头学法用法常态化</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在石槽集乡</w:t>
      </w:r>
      <w:r>
        <w:rPr>
          <w:rFonts w:hint="eastAsia" w:ascii="仿宋_GB2312" w:hAnsi="仿宋_GB2312" w:eastAsia="仿宋_GB2312" w:cs="仿宋_GB2312"/>
          <w:i w:val="0"/>
          <w:iCs w:val="0"/>
          <w:caps w:val="0"/>
          <w:color w:val="333333"/>
          <w:spacing w:val="0"/>
          <w:sz w:val="32"/>
          <w:szCs w:val="32"/>
          <w:shd w:val="clear" w:fill="FFFFFF"/>
        </w:rPr>
        <w:t>掀起全</w:t>
      </w:r>
      <w:r>
        <w:rPr>
          <w:rFonts w:hint="eastAsia" w:ascii="仿宋_GB2312" w:hAnsi="仿宋_GB2312" w:eastAsia="仿宋_GB2312" w:cs="仿宋_GB2312"/>
          <w:i w:val="0"/>
          <w:iCs w:val="0"/>
          <w:caps w:val="0"/>
          <w:color w:val="333333"/>
          <w:spacing w:val="0"/>
          <w:sz w:val="32"/>
          <w:szCs w:val="32"/>
          <w:shd w:val="clear" w:fill="FFFFFF"/>
          <w:lang w:val="en-US" w:eastAsia="zh-CN"/>
        </w:rPr>
        <w:t>乡</w:t>
      </w:r>
      <w:r>
        <w:rPr>
          <w:rFonts w:hint="eastAsia" w:ascii="仿宋_GB2312" w:hAnsi="仿宋_GB2312" w:eastAsia="仿宋_GB2312" w:cs="仿宋_GB2312"/>
          <w:i w:val="0"/>
          <w:iCs w:val="0"/>
          <w:caps w:val="0"/>
          <w:color w:val="333333"/>
          <w:spacing w:val="0"/>
          <w:sz w:val="32"/>
          <w:szCs w:val="32"/>
          <w:shd w:val="clear" w:fill="FFFFFF"/>
        </w:rPr>
        <w:t>共同学习习近平法治思想的热潮。</w:t>
      </w:r>
    </w:p>
    <w:p>
      <w:pPr>
        <w:keepNext w:val="0"/>
        <w:keepLines w:val="0"/>
        <w:widowControl/>
        <w:suppressLineNumbers w:val="0"/>
        <w:ind w:firstLine="643" w:firstLineChars="20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（二）健全党委领导法治建设体制机制</w:t>
      </w:r>
      <w:r>
        <w:rPr>
          <w:rFonts w:hint="eastAsia" w:ascii="仿宋_GB2312" w:hAnsi="仿宋_GB2312" w:eastAsia="仿宋_GB2312" w:cs="仿宋_GB2312"/>
          <w:b/>
          <w:bCs/>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石槽集乡</w:t>
      </w:r>
      <w:r>
        <w:rPr>
          <w:rFonts w:hint="eastAsia" w:ascii="仿宋_GB2312" w:hAnsi="仿宋_GB2312" w:eastAsia="仿宋_GB2312" w:cs="仿宋_GB2312"/>
          <w:color w:val="000000"/>
          <w:kern w:val="0"/>
          <w:sz w:val="32"/>
          <w:szCs w:val="32"/>
          <w:lang w:val="en-US" w:eastAsia="zh-CN" w:bidi="ar"/>
        </w:rPr>
        <w:t>党政主要负责人将法治政府建设摆在工作全局的重要位置，</w:t>
      </w:r>
      <w:r>
        <w:rPr>
          <w:rFonts w:hint="eastAsia" w:ascii="仿宋_GB2312" w:hAnsi="仿宋_GB2312" w:eastAsia="仿宋_GB2312" w:cs="仿宋_GB2312"/>
          <w:i w:val="0"/>
          <w:iCs w:val="0"/>
          <w:caps w:val="0"/>
          <w:color w:val="333333"/>
          <w:spacing w:val="0"/>
          <w:sz w:val="32"/>
          <w:szCs w:val="32"/>
          <w:shd w:val="clear" w:fill="FFFFFF"/>
        </w:rPr>
        <w:t>将法治建设纳入</w:t>
      </w:r>
      <w:r>
        <w:rPr>
          <w:rFonts w:hint="eastAsia" w:ascii="仿宋_GB2312" w:hAnsi="仿宋_GB2312" w:eastAsia="仿宋_GB2312" w:cs="仿宋_GB2312"/>
          <w:i w:val="0"/>
          <w:iCs w:val="0"/>
          <w:caps w:val="0"/>
          <w:color w:val="333333"/>
          <w:spacing w:val="0"/>
          <w:sz w:val="32"/>
          <w:szCs w:val="32"/>
          <w:shd w:val="clear" w:fill="FFFFFF"/>
          <w:lang w:val="en-US" w:eastAsia="zh-CN"/>
        </w:rPr>
        <w:t>乡</w:t>
      </w:r>
      <w:r>
        <w:rPr>
          <w:rFonts w:hint="eastAsia" w:ascii="仿宋_GB2312" w:hAnsi="仿宋_GB2312" w:eastAsia="仿宋_GB2312" w:cs="仿宋_GB2312"/>
          <w:i w:val="0"/>
          <w:iCs w:val="0"/>
          <w:caps w:val="0"/>
          <w:color w:val="333333"/>
          <w:spacing w:val="0"/>
          <w:sz w:val="32"/>
          <w:szCs w:val="32"/>
          <w:shd w:val="clear" w:fill="FFFFFF"/>
        </w:rPr>
        <w:t>年度工作要点；制定党政主要负责人履行推进法治建设第一责任人职责工作清单</w:t>
      </w:r>
      <w:r>
        <w:rPr>
          <w:rFonts w:hint="eastAsia" w:ascii="仿宋_GB2312" w:hAnsi="仿宋_GB2312" w:eastAsia="仿宋_GB2312" w:cs="仿宋_GB2312"/>
          <w:color w:val="000000"/>
          <w:kern w:val="0"/>
          <w:sz w:val="32"/>
          <w:szCs w:val="32"/>
          <w:lang w:val="en-US" w:eastAsia="zh-CN" w:bidi="ar"/>
        </w:rPr>
        <w:t>，充分发挥法治政府建设领导班子作用，</w:t>
      </w:r>
      <w:r>
        <w:rPr>
          <w:rFonts w:hint="eastAsia" w:ascii="仿宋_GB2312" w:hAnsi="仿宋_GB2312" w:eastAsia="仿宋_GB2312" w:cs="仿宋_GB2312"/>
          <w:i w:val="0"/>
          <w:iCs w:val="0"/>
          <w:caps w:val="0"/>
          <w:color w:val="333333"/>
          <w:spacing w:val="0"/>
          <w:sz w:val="32"/>
          <w:szCs w:val="32"/>
          <w:shd w:val="clear" w:fill="FFFFFF"/>
        </w:rPr>
        <w:t>研究部署法治政府建设重要事项；</w:t>
      </w:r>
      <w:r>
        <w:rPr>
          <w:rFonts w:hint="eastAsia" w:ascii="仿宋_GB2312" w:hAnsi="仿宋_GB2312" w:eastAsia="仿宋_GB2312" w:cs="仿宋_GB2312"/>
          <w:color w:val="000000"/>
          <w:kern w:val="0"/>
          <w:sz w:val="32"/>
          <w:szCs w:val="32"/>
          <w:lang w:val="en-US" w:eastAsia="zh-CN" w:bidi="ar"/>
        </w:rPr>
        <w:t>部署法治政府建设、行政执法监督、法治宣传等方面工作，加强督促检查和考核评价，</w:t>
      </w:r>
      <w:r>
        <w:rPr>
          <w:rFonts w:hint="eastAsia" w:ascii="仿宋_GB2312" w:hAnsi="仿宋_GB2312" w:eastAsia="仿宋_GB2312" w:cs="仿宋_GB2312"/>
          <w:i w:val="0"/>
          <w:iCs w:val="0"/>
          <w:caps w:val="0"/>
          <w:color w:val="333333"/>
          <w:spacing w:val="0"/>
          <w:sz w:val="32"/>
          <w:szCs w:val="32"/>
          <w:shd w:val="clear" w:fill="FFFFFF"/>
        </w:rPr>
        <w:t>召开</w:t>
      </w:r>
      <w:r>
        <w:rPr>
          <w:rFonts w:hint="eastAsia" w:ascii="仿宋_GB2312" w:hAnsi="仿宋_GB2312" w:eastAsia="仿宋_GB2312" w:cs="仿宋_GB2312"/>
          <w:i w:val="0"/>
          <w:iCs w:val="0"/>
          <w:caps w:val="0"/>
          <w:color w:val="333333"/>
          <w:spacing w:val="0"/>
          <w:sz w:val="32"/>
          <w:szCs w:val="32"/>
          <w:shd w:val="clear" w:fill="FFFFFF"/>
          <w:lang w:val="en-US" w:eastAsia="zh-CN"/>
        </w:rPr>
        <w:t>乡党委、政府</w:t>
      </w:r>
      <w:r>
        <w:rPr>
          <w:rFonts w:hint="eastAsia" w:ascii="仿宋_GB2312" w:hAnsi="仿宋_GB2312" w:eastAsia="仿宋_GB2312" w:cs="仿宋_GB2312"/>
          <w:i w:val="0"/>
          <w:iCs w:val="0"/>
          <w:caps w:val="0"/>
          <w:color w:val="333333"/>
          <w:spacing w:val="0"/>
          <w:sz w:val="32"/>
          <w:szCs w:val="32"/>
          <w:shd w:val="clear" w:fill="FFFFFF"/>
        </w:rPr>
        <w:t>全面依法治</w:t>
      </w:r>
      <w:r>
        <w:rPr>
          <w:rFonts w:hint="eastAsia" w:ascii="仿宋_GB2312" w:hAnsi="仿宋_GB2312" w:eastAsia="仿宋_GB2312" w:cs="仿宋_GB2312"/>
          <w:i w:val="0"/>
          <w:iCs w:val="0"/>
          <w:caps w:val="0"/>
          <w:color w:val="333333"/>
          <w:spacing w:val="0"/>
          <w:sz w:val="32"/>
          <w:szCs w:val="32"/>
          <w:shd w:val="clear" w:fill="FFFFFF"/>
          <w:lang w:val="en-US" w:eastAsia="zh-CN"/>
        </w:rPr>
        <w:t>乡专题</w:t>
      </w:r>
      <w:r>
        <w:rPr>
          <w:rFonts w:hint="eastAsia" w:ascii="仿宋_GB2312" w:hAnsi="仿宋_GB2312" w:eastAsia="仿宋_GB2312" w:cs="仿宋_GB2312"/>
          <w:i w:val="0"/>
          <w:iCs w:val="0"/>
          <w:caps w:val="0"/>
          <w:color w:val="333333"/>
          <w:spacing w:val="0"/>
          <w:sz w:val="32"/>
          <w:szCs w:val="32"/>
          <w:shd w:val="clear" w:fill="FFFFFF"/>
        </w:rPr>
        <w:t>会议，</w:t>
      </w:r>
      <w:r>
        <w:rPr>
          <w:rFonts w:hint="eastAsia" w:ascii="仿宋_GB2312" w:hAnsi="仿宋_GB2312" w:eastAsia="仿宋_GB2312" w:cs="仿宋_GB2312"/>
          <w:color w:val="000000"/>
          <w:kern w:val="0"/>
          <w:sz w:val="32"/>
          <w:szCs w:val="32"/>
          <w:lang w:val="en-US" w:eastAsia="zh-CN" w:bidi="ar"/>
        </w:rPr>
        <w:t xml:space="preserve"> 加强督促检查和考核评价，</w:t>
      </w:r>
      <w:r>
        <w:rPr>
          <w:rFonts w:hint="eastAsia" w:ascii="仿宋_GB2312" w:hAnsi="仿宋_GB2312" w:eastAsia="仿宋_GB2312" w:cs="仿宋_GB2312"/>
          <w:i w:val="0"/>
          <w:iCs w:val="0"/>
          <w:caps w:val="0"/>
          <w:color w:val="333333"/>
          <w:spacing w:val="0"/>
          <w:sz w:val="32"/>
          <w:szCs w:val="32"/>
          <w:shd w:val="clear" w:fill="FFFFFF"/>
        </w:rPr>
        <w:t>制定贯彻落实法治建设实施方案，</w:t>
      </w:r>
      <w:r>
        <w:rPr>
          <w:rFonts w:hint="eastAsia" w:ascii="仿宋_GB2312" w:hAnsi="仿宋_GB2312" w:eastAsia="仿宋_GB2312" w:cs="仿宋_GB2312"/>
          <w:color w:val="000000"/>
          <w:kern w:val="0"/>
          <w:sz w:val="32"/>
          <w:szCs w:val="32"/>
          <w:lang w:val="en-US" w:eastAsia="zh-CN" w:bidi="ar"/>
        </w:rPr>
        <w:t>积极主动向县委、县政府报告法治政府建设中的重大问题。</w:t>
      </w:r>
      <w:r>
        <w:rPr>
          <w:rFonts w:hint="eastAsia" w:ascii="仿宋_GB2312" w:hAnsi="仿宋_GB2312" w:eastAsia="仿宋_GB2312" w:cs="仿宋_GB2312"/>
          <w:i w:val="0"/>
          <w:iCs w:val="0"/>
          <w:caps w:val="0"/>
          <w:color w:val="333333"/>
          <w:spacing w:val="0"/>
          <w:sz w:val="32"/>
          <w:szCs w:val="32"/>
          <w:shd w:val="clear" w:fill="FFFFFF"/>
        </w:rPr>
        <w:t>实现</w:t>
      </w:r>
      <w:r>
        <w:rPr>
          <w:rFonts w:hint="eastAsia" w:ascii="仿宋_GB2312" w:hAnsi="仿宋_GB2312" w:eastAsia="仿宋_GB2312" w:cs="仿宋_GB2312"/>
          <w:i w:val="0"/>
          <w:iCs w:val="0"/>
          <w:caps w:val="0"/>
          <w:color w:val="333333"/>
          <w:spacing w:val="0"/>
          <w:sz w:val="32"/>
          <w:szCs w:val="32"/>
          <w:shd w:val="clear" w:fill="FFFFFF"/>
          <w:lang w:val="en-US" w:eastAsia="zh-CN"/>
        </w:rPr>
        <w:t>石槽集乡</w:t>
      </w:r>
      <w:r>
        <w:rPr>
          <w:rFonts w:hint="eastAsia" w:ascii="仿宋_GB2312" w:hAnsi="仿宋_GB2312" w:eastAsia="仿宋_GB2312" w:cs="仿宋_GB2312"/>
          <w:i w:val="0"/>
          <w:iCs w:val="0"/>
          <w:caps w:val="0"/>
          <w:color w:val="333333"/>
          <w:spacing w:val="0"/>
          <w:sz w:val="32"/>
          <w:szCs w:val="32"/>
          <w:shd w:val="clear" w:fill="FFFFFF"/>
        </w:rPr>
        <w:t>法治政府、法治社会一体推进。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70"/>
        <w:jc w:val="both"/>
        <w:rPr>
          <w:rStyle w:val="7"/>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color w:val="000000"/>
          <w:kern w:val="0"/>
          <w:sz w:val="32"/>
          <w:szCs w:val="32"/>
          <w:lang w:val="en-US" w:eastAsia="zh-CN" w:bidi="ar"/>
        </w:rPr>
        <w:t xml:space="preserve"> 二、</w:t>
      </w:r>
      <w:r>
        <w:rPr>
          <w:rStyle w:val="7"/>
          <w:rFonts w:hint="eastAsia" w:ascii="仿宋_GB2312" w:hAnsi="仿宋_GB2312" w:eastAsia="仿宋_GB2312" w:cs="仿宋_GB2312"/>
          <w:b/>
          <w:bCs/>
          <w:i w:val="0"/>
          <w:iCs w:val="0"/>
          <w:caps w:val="0"/>
          <w:color w:val="333333"/>
          <w:spacing w:val="0"/>
          <w:sz w:val="32"/>
          <w:szCs w:val="32"/>
          <w:shd w:val="clear" w:fill="FFFFFF"/>
          <w:lang w:val="en-US" w:eastAsia="zh-CN"/>
        </w:rPr>
        <w:t>法治政府建设的</w:t>
      </w:r>
      <w:r>
        <w:rPr>
          <w:rStyle w:val="7"/>
          <w:rFonts w:hint="eastAsia" w:ascii="仿宋_GB2312" w:hAnsi="仿宋_GB2312" w:eastAsia="仿宋_GB2312" w:cs="仿宋_GB2312"/>
          <w:b/>
          <w:bCs/>
          <w:i w:val="0"/>
          <w:iCs w:val="0"/>
          <w:caps w:val="0"/>
          <w:color w:val="333333"/>
          <w:spacing w:val="0"/>
          <w:sz w:val="32"/>
          <w:szCs w:val="32"/>
          <w:shd w:val="clear" w:fill="FFFFFF"/>
        </w:rPr>
        <w:t>主要举措和成效</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firstLine="643"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lang w:eastAsia="zh-CN"/>
        </w:rPr>
        <w:t>（</w:t>
      </w:r>
      <w:r>
        <w:rPr>
          <w:rFonts w:hint="eastAsia" w:ascii="仿宋_GB2312" w:hAnsi="仿宋_GB2312" w:eastAsia="仿宋_GB2312" w:cs="仿宋_GB2312"/>
          <w:b/>
          <w:bCs/>
          <w:i w:val="0"/>
          <w:iCs w:val="0"/>
          <w:caps w:val="0"/>
          <w:color w:val="333333"/>
          <w:spacing w:val="0"/>
          <w:sz w:val="32"/>
          <w:szCs w:val="32"/>
          <w:shd w:val="clear" w:fill="FFFFFF"/>
          <w:lang w:val="en-US" w:eastAsia="zh-CN"/>
        </w:rPr>
        <w:t>一</w:t>
      </w:r>
      <w:r>
        <w:rPr>
          <w:rFonts w:hint="eastAsia" w:ascii="仿宋_GB2312" w:hAnsi="仿宋_GB2312" w:eastAsia="仿宋_GB2312" w:cs="仿宋_GB2312"/>
          <w:b/>
          <w:bCs/>
          <w:i w:val="0"/>
          <w:iCs w:val="0"/>
          <w:caps w:val="0"/>
          <w:color w:val="333333"/>
          <w:spacing w:val="0"/>
          <w:sz w:val="32"/>
          <w:szCs w:val="32"/>
          <w:shd w:val="clear" w:fill="FFFFFF"/>
          <w:lang w:eastAsia="zh-CN"/>
        </w:rPr>
        <w:t>）</w:t>
      </w:r>
      <w:r>
        <w:rPr>
          <w:rFonts w:hint="eastAsia" w:ascii="仿宋_GB2312" w:hAnsi="仿宋_GB2312" w:eastAsia="仿宋_GB2312" w:cs="仿宋_GB2312"/>
          <w:b/>
          <w:bCs/>
          <w:i w:val="0"/>
          <w:iCs w:val="0"/>
          <w:caps w:val="0"/>
          <w:color w:val="333333"/>
          <w:spacing w:val="0"/>
          <w:sz w:val="32"/>
          <w:szCs w:val="32"/>
          <w:shd w:val="clear" w:fill="FFFFFF"/>
        </w:rPr>
        <w:t>高站位，强引领，制度建设更加完善。</w:t>
      </w:r>
      <w:r>
        <w:rPr>
          <w:rFonts w:hint="eastAsia" w:ascii="仿宋_GB2312" w:hAnsi="仿宋_GB2312" w:eastAsia="仿宋_GB2312" w:cs="仿宋_GB2312"/>
          <w:i w:val="0"/>
          <w:iCs w:val="0"/>
          <w:caps w:val="0"/>
          <w:color w:val="333333"/>
          <w:spacing w:val="0"/>
          <w:sz w:val="32"/>
          <w:szCs w:val="32"/>
          <w:shd w:val="clear" w:fill="FFFFFF"/>
          <w:lang w:val="en-US" w:eastAsia="zh-CN"/>
        </w:rPr>
        <w:t>乡党委、</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lang w:val="en-US" w:eastAsia="zh-CN"/>
        </w:rPr>
        <w:t>政府</w:t>
      </w:r>
      <w:r>
        <w:rPr>
          <w:rFonts w:hint="eastAsia" w:ascii="仿宋_GB2312" w:hAnsi="仿宋_GB2312" w:eastAsia="仿宋_GB2312" w:cs="仿宋_GB2312"/>
          <w:i w:val="0"/>
          <w:iCs w:val="0"/>
          <w:caps w:val="0"/>
          <w:color w:val="333333"/>
          <w:spacing w:val="0"/>
          <w:sz w:val="32"/>
          <w:szCs w:val="32"/>
          <w:shd w:val="clear" w:fill="FFFFFF"/>
        </w:rPr>
        <w:t>成立了法治建设工作领导小组，具体组织、协调、指导工作，确保工作有序开展。建立健全干部学法用法制度，加强对法律法规的学习培训，</w:t>
      </w:r>
      <w:r>
        <w:rPr>
          <w:rFonts w:hint="eastAsia" w:ascii="仿宋_GB2312" w:hAnsi="仿宋_GB2312" w:eastAsia="仿宋_GB2312" w:cs="仿宋_GB2312"/>
          <w:i w:val="0"/>
          <w:iCs w:val="0"/>
          <w:caps w:val="0"/>
          <w:color w:val="333333"/>
          <w:spacing w:val="0"/>
          <w:sz w:val="32"/>
          <w:szCs w:val="32"/>
          <w:shd w:val="clear" w:fill="FFFFFF"/>
          <w:lang w:val="en-US" w:eastAsia="zh-CN"/>
        </w:rPr>
        <w:t>加大普法宣传力度</w:t>
      </w:r>
      <w:r>
        <w:rPr>
          <w:rFonts w:hint="eastAsia" w:ascii="仿宋_GB2312" w:hAnsi="仿宋_GB2312" w:eastAsia="仿宋_GB2312" w:cs="仿宋_GB2312"/>
          <w:i w:val="0"/>
          <w:iCs w:val="0"/>
          <w:caps w:val="0"/>
          <w:color w:val="333333"/>
          <w:spacing w:val="0"/>
          <w:sz w:val="32"/>
          <w:szCs w:val="32"/>
          <w:shd w:val="clear" w:fill="FFFFFF"/>
        </w:rPr>
        <w:t>，学习习近平新时代中国特色社会主义思想，全面落实依法治国基本方略，中央和省、市、</w:t>
      </w:r>
      <w:r>
        <w:rPr>
          <w:rFonts w:hint="eastAsia" w:ascii="仿宋_GB2312" w:hAnsi="仿宋_GB2312" w:eastAsia="仿宋_GB2312" w:cs="仿宋_GB2312"/>
          <w:i w:val="0"/>
          <w:iCs w:val="0"/>
          <w:caps w:val="0"/>
          <w:color w:val="333333"/>
          <w:spacing w:val="0"/>
          <w:sz w:val="32"/>
          <w:szCs w:val="32"/>
          <w:shd w:val="clear" w:fill="FFFFFF"/>
          <w:lang w:val="en-US" w:eastAsia="zh-CN"/>
        </w:rPr>
        <w:t>县</w:t>
      </w:r>
      <w:r>
        <w:rPr>
          <w:rFonts w:hint="eastAsia" w:ascii="仿宋_GB2312" w:hAnsi="仿宋_GB2312" w:eastAsia="仿宋_GB2312" w:cs="仿宋_GB2312"/>
          <w:i w:val="0"/>
          <w:iCs w:val="0"/>
          <w:caps w:val="0"/>
          <w:color w:val="333333"/>
          <w:spacing w:val="0"/>
          <w:sz w:val="32"/>
          <w:szCs w:val="32"/>
          <w:shd w:val="clear" w:fill="FFFFFF"/>
        </w:rPr>
        <w:t>委重要文件精神，大力提升干部的法治思维、法治能力，进一步增强学法、用法、守法的自觉性，形成“办事依法、遇事找法、解决问题用法、化解矛盾靠法”的工作氛围。</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firstLine="643" w:firstLineChars="20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b/>
          <w:bCs/>
          <w:i w:val="0"/>
          <w:iCs w:val="0"/>
          <w:caps w:val="0"/>
          <w:color w:val="333333"/>
          <w:spacing w:val="0"/>
          <w:sz w:val="32"/>
          <w:szCs w:val="32"/>
          <w:shd w:val="clear" w:fill="FFFFFF"/>
          <w:lang w:eastAsia="zh-CN"/>
        </w:rPr>
        <w:t>（</w:t>
      </w:r>
      <w:r>
        <w:rPr>
          <w:rFonts w:hint="eastAsia" w:ascii="仿宋_GB2312" w:hAnsi="仿宋_GB2312" w:eastAsia="仿宋_GB2312" w:cs="仿宋_GB2312"/>
          <w:b/>
          <w:bCs/>
          <w:i w:val="0"/>
          <w:iCs w:val="0"/>
          <w:caps w:val="0"/>
          <w:color w:val="333333"/>
          <w:spacing w:val="0"/>
          <w:sz w:val="32"/>
          <w:szCs w:val="32"/>
          <w:shd w:val="clear" w:fill="FFFFFF"/>
          <w:lang w:val="en-US" w:eastAsia="zh-CN"/>
        </w:rPr>
        <w:t>二</w:t>
      </w:r>
      <w:r>
        <w:rPr>
          <w:rFonts w:hint="eastAsia" w:ascii="仿宋_GB2312" w:hAnsi="仿宋_GB2312" w:eastAsia="仿宋_GB2312" w:cs="仿宋_GB2312"/>
          <w:b/>
          <w:bCs/>
          <w:i w:val="0"/>
          <w:iCs w:val="0"/>
          <w:caps w:val="0"/>
          <w:color w:val="333333"/>
          <w:spacing w:val="0"/>
          <w:sz w:val="32"/>
          <w:szCs w:val="32"/>
          <w:shd w:val="clear" w:fill="FFFFFF"/>
          <w:lang w:eastAsia="zh-CN"/>
        </w:rPr>
        <w:t>）</w:t>
      </w:r>
      <w:r>
        <w:rPr>
          <w:rFonts w:hint="eastAsia" w:ascii="仿宋_GB2312" w:hAnsi="仿宋_GB2312" w:eastAsia="仿宋_GB2312" w:cs="仿宋_GB2312"/>
          <w:b/>
          <w:bCs/>
          <w:i w:val="0"/>
          <w:iCs w:val="0"/>
          <w:caps w:val="0"/>
          <w:color w:val="333333"/>
          <w:spacing w:val="0"/>
          <w:sz w:val="32"/>
          <w:szCs w:val="32"/>
          <w:shd w:val="clear" w:fill="FFFFFF"/>
        </w:rPr>
        <w:t>勇担当，善作为，权责管理更加规范。</w:t>
      </w:r>
      <w:r>
        <w:rPr>
          <w:rFonts w:hint="eastAsia" w:ascii="仿宋_GB2312" w:hAnsi="仿宋_GB2312" w:eastAsia="仿宋_GB2312" w:cs="仿宋_GB2312"/>
          <w:i w:val="0"/>
          <w:iCs w:val="0"/>
          <w:caps w:val="0"/>
          <w:color w:val="333333"/>
          <w:spacing w:val="0"/>
          <w:sz w:val="32"/>
          <w:szCs w:val="32"/>
          <w:shd w:val="clear" w:fill="FFFFFF"/>
        </w:rPr>
        <w:t>认真落实“谁执法谁普法”责任制，让执法人员在执法普法的同时不断提高自身法治素养和依法行政能力。把能不能遵守法律、依法办事作为考察干部的重要内容。在相同的情况下，优先选拔重用法治素养好、依法办事能力强的干部。对特权思想严重、法治观念淡薄的干部进行批评教育、督促整改。严格落实领导干部学法制度，切实发挥领导干部法治政府建设中的“关键作用”</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全年多次开展专题学习</w:t>
      </w:r>
      <w:r>
        <w:rPr>
          <w:rFonts w:hint="eastAsia" w:ascii="仿宋_GB2312" w:hAnsi="仿宋_GB2312" w:eastAsia="仿宋_GB2312" w:cs="仿宋_GB2312"/>
          <w:i w:val="0"/>
          <w:iCs w:val="0"/>
          <w:caps w:val="0"/>
          <w:color w:val="333333"/>
          <w:spacing w:val="0"/>
          <w:sz w:val="32"/>
          <w:szCs w:val="32"/>
          <w:shd w:val="clear" w:fill="FFFFFF"/>
          <w:lang w:val="en-US" w:eastAsia="zh-CN"/>
        </w:rPr>
        <w:t>活动</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并组织开展多次普法宣传、法律宣传周等活动。</w:t>
      </w:r>
      <w:r>
        <w:rPr>
          <w:rFonts w:hint="eastAsia" w:ascii="仿宋_GB2312" w:hAnsi="仿宋_GB2312" w:eastAsia="仿宋_GB2312" w:cs="仿宋_GB2312"/>
          <w:i w:val="0"/>
          <w:iCs w:val="0"/>
          <w:caps w:val="0"/>
          <w:color w:val="333333"/>
          <w:spacing w:val="0"/>
          <w:sz w:val="32"/>
          <w:szCs w:val="32"/>
          <w:shd w:val="clear" w:fill="FFFFFF"/>
        </w:rPr>
        <w:t>通过自学和集体学习，进一步提升全</w:t>
      </w:r>
      <w:r>
        <w:rPr>
          <w:rFonts w:hint="eastAsia" w:ascii="仿宋_GB2312" w:hAnsi="仿宋_GB2312" w:eastAsia="仿宋_GB2312" w:cs="仿宋_GB2312"/>
          <w:i w:val="0"/>
          <w:iCs w:val="0"/>
          <w:caps w:val="0"/>
          <w:color w:val="333333"/>
          <w:spacing w:val="0"/>
          <w:sz w:val="32"/>
          <w:szCs w:val="32"/>
          <w:shd w:val="clear" w:fill="FFFFFF"/>
          <w:lang w:val="en-US" w:eastAsia="zh-CN"/>
        </w:rPr>
        <w:t>乡</w:t>
      </w:r>
      <w:r>
        <w:rPr>
          <w:rFonts w:hint="eastAsia" w:ascii="仿宋_GB2312" w:hAnsi="仿宋_GB2312" w:eastAsia="仿宋_GB2312" w:cs="仿宋_GB2312"/>
          <w:i w:val="0"/>
          <w:iCs w:val="0"/>
          <w:caps w:val="0"/>
          <w:color w:val="333333"/>
          <w:spacing w:val="0"/>
          <w:sz w:val="32"/>
          <w:szCs w:val="32"/>
          <w:shd w:val="clear" w:fill="FFFFFF"/>
        </w:rPr>
        <w:t>干部的法治意识和能力</w:t>
      </w:r>
      <w:r>
        <w:rPr>
          <w:rFonts w:hint="eastAsia" w:ascii="仿宋_GB2312" w:hAnsi="仿宋_GB2312" w:eastAsia="仿宋_GB2312" w:cs="仿宋_GB2312"/>
          <w:i w:val="0"/>
          <w:iCs w:val="0"/>
          <w:caps w:val="0"/>
          <w:color w:val="333333"/>
          <w:spacing w:val="0"/>
          <w:sz w:val="32"/>
          <w:szCs w:val="32"/>
          <w:shd w:val="clear" w:fill="FFFFFF"/>
          <w:lang w:eastAsia="zh-CN"/>
        </w:rPr>
        <w:t>。</w:t>
      </w:r>
    </w:p>
    <w:p>
      <w:pPr>
        <w:keepNext w:val="0"/>
        <w:keepLines w:val="0"/>
        <w:widowControl/>
        <w:suppressLineNumbers w:val="0"/>
        <w:ind w:firstLine="643"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（三）健全社会矛盾纠纷行政预防调处化解体系，不断促进社会公平正义。</w:t>
      </w:r>
      <w:r>
        <w:rPr>
          <w:rFonts w:hint="eastAsia" w:ascii="仿宋_GB2312" w:hAnsi="仿宋_GB2312" w:eastAsia="仿宋_GB2312" w:cs="仿宋_GB2312"/>
          <w:b w:val="0"/>
          <w:bCs w:val="0"/>
          <w:color w:val="000000"/>
          <w:kern w:val="0"/>
          <w:sz w:val="32"/>
          <w:szCs w:val="32"/>
          <w:lang w:val="en-US" w:eastAsia="zh-CN" w:bidi="ar"/>
        </w:rPr>
        <w:t>石槽集乡</w:t>
      </w:r>
      <w:r>
        <w:rPr>
          <w:rFonts w:hint="eastAsia" w:ascii="仿宋_GB2312" w:hAnsi="仿宋_GB2312" w:eastAsia="仿宋_GB2312" w:cs="仿宋_GB2312"/>
          <w:color w:val="000000"/>
          <w:kern w:val="0"/>
          <w:sz w:val="32"/>
          <w:szCs w:val="32"/>
          <w:lang w:val="en-US" w:eastAsia="zh-CN" w:bidi="ar"/>
        </w:rPr>
        <w:t>制定了以教育、疏导为主的信访工作思路，落实了班子成员定期接访、变上访为下访的预防措施，明确了重点信访问题领导包案、专班化解，乡村干部分级负责的工作责任制。进一步畅通信访渠道，规范信访程序，维护信访秩序，落实信访责任，依法有效地化解各类矛盾纠纷和信访问题，</w:t>
      </w:r>
      <w:r>
        <w:rPr>
          <w:rFonts w:hint="eastAsia" w:ascii="仿宋_GB2312" w:hAnsi="仿宋_GB2312" w:eastAsia="仿宋_GB2312" w:cs="仿宋_GB2312"/>
          <w:snapToGrid w:val="0"/>
          <w:color w:val="000000"/>
          <w:sz w:val="32"/>
          <w:szCs w:val="32"/>
          <w:highlight w:val="none"/>
        </w:rPr>
        <w:t>年内调处矛盾纠纷</w:t>
      </w:r>
      <w:r>
        <w:rPr>
          <w:rFonts w:hint="eastAsia" w:ascii="仿宋_GB2312" w:hAnsi="仿宋_GB2312" w:eastAsia="仿宋_GB2312" w:cs="仿宋_GB2312"/>
          <w:snapToGrid w:val="0"/>
          <w:color w:val="000000"/>
          <w:sz w:val="32"/>
          <w:szCs w:val="32"/>
          <w:highlight w:val="none"/>
          <w:lang w:val="en-US" w:eastAsia="zh-CN"/>
        </w:rPr>
        <w:t>60余</w:t>
      </w:r>
      <w:r>
        <w:rPr>
          <w:rFonts w:hint="eastAsia" w:ascii="仿宋_GB2312" w:hAnsi="仿宋_GB2312" w:eastAsia="仿宋_GB2312" w:cs="仿宋_GB2312"/>
          <w:snapToGrid w:val="0"/>
          <w:color w:val="000000"/>
          <w:sz w:val="32"/>
          <w:szCs w:val="32"/>
          <w:highlight w:val="none"/>
        </w:rPr>
        <w:t>件，调处率</w:t>
      </w:r>
      <w:r>
        <w:rPr>
          <w:rFonts w:hint="eastAsia" w:ascii="仿宋_GB2312" w:hAnsi="仿宋_GB2312" w:eastAsia="仿宋_GB2312" w:cs="仿宋_GB2312"/>
          <w:snapToGrid w:val="0"/>
          <w:color w:val="000000"/>
          <w:sz w:val="32"/>
          <w:szCs w:val="32"/>
          <w:highlight w:val="none"/>
          <w:lang w:val="en-US" w:eastAsia="zh-CN"/>
        </w:rPr>
        <w:t>95</w:t>
      </w:r>
      <w:r>
        <w:rPr>
          <w:rFonts w:hint="eastAsia" w:ascii="仿宋_GB2312" w:hAnsi="仿宋_GB2312" w:eastAsia="仿宋_GB2312" w:cs="仿宋_GB2312"/>
          <w:snapToGrid w:val="0"/>
          <w:color w:val="000000"/>
          <w:sz w:val="32"/>
          <w:szCs w:val="32"/>
          <w:highlight w:val="none"/>
        </w:rPr>
        <w:t>%</w:t>
      </w:r>
      <w:r>
        <w:rPr>
          <w:rFonts w:hint="eastAsia" w:ascii="仿宋_GB2312" w:hAnsi="仿宋_GB2312" w:eastAsia="仿宋_GB2312" w:cs="仿宋_GB2312"/>
          <w:snapToGrid w:val="0"/>
          <w:color w:val="000000"/>
          <w:sz w:val="32"/>
          <w:szCs w:val="32"/>
          <w:highlight w:val="none"/>
          <w:lang w:val="en-US" w:eastAsia="zh-CN"/>
        </w:rPr>
        <w:t>以上</w:t>
      </w:r>
      <w:r>
        <w:rPr>
          <w:rFonts w:hint="eastAsia" w:ascii="仿宋_GB2312" w:hAnsi="仿宋_GB2312" w:eastAsia="仿宋_GB2312" w:cs="仿宋_GB2312"/>
          <w:snapToGrid w:val="0"/>
          <w:color w:val="000000"/>
          <w:sz w:val="32"/>
          <w:szCs w:val="32"/>
          <w:highlight w:val="none"/>
          <w:lang w:eastAsia="zh-CN"/>
        </w:rPr>
        <w:t>，</w:t>
      </w:r>
      <w:r>
        <w:rPr>
          <w:rFonts w:hint="eastAsia" w:ascii="仿宋_GB2312" w:hAnsi="仿宋_GB2312" w:eastAsia="仿宋_GB2312" w:cs="仿宋_GB2312"/>
          <w:color w:val="000000"/>
          <w:kern w:val="0"/>
          <w:sz w:val="32"/>
          <w:szCs w:val="32"/>
          <w:lang w:val="en-US" w:eastAsia="zh-CN" w:bidi="ar"/>
        </w:rPr>
        <w:t>进一步畅通了群众利益诉求渠道，使群众反映的合法合理诉求得到了有效化解。</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firstLine="643"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（四）广泛宣传，营造依法治乡浓厚氛围。</w:t>
      </w:r>
      <w:r>
        <w:rPr>
          <w:rFonts w:hint="eastAsia" w:ascii="仿宋_GB2312" w:hAnsi="仿宋_GB2312" w:eastAsia="仿宋_GB2312" w:cs="仿宋_GB2312"/>
          <w:b w:val="0"/>
          <w:bCs w:val="0"/>
          <w:color w:val="000000"/>
          <w:kern w:val="0"/>
          <w:sz w:val="32"/>
          <w:szCs w:val="32"/>
          <w:lang w:val="en-US" w:eastAsia="zh-CN" w:bidi="ar"/>
        </w:rPr>
        <w:t>石槽集乡</w:t>
      </w:r>
      <w:r>
        <w:rPr>
          <w:rFonts w:hint="eastAsia" w:ascii="仿宋_GB2312" w:hAnsi="仿宋_GB2312" w:eastAsia="仿宋_GB2312" w:cs="仿宋_GB2312"/>
          <w:color w:val="000000"/>
          <w:kern w:val="0"/>
          <w:sz w:val="32"/>
          <w:szCs w:val="32"/>
          <w:lang w:val="en-US" w:eastAsia="zh-CN" w:bidi="ar"/>
        </w:rPr>
        <w:t>按照年初制定的普法工作计划，着力营造依法治乡的浓厚氛围，在辖区内深入开展丰富多彩的群众性普法文化活动80余次，</w:t>
      </w:r>
      <w:r>
        <w:rPr>
          <w:rFonts w:hint="eastAsia" w:ascii="仿宋_GB2312" w:hAnsi="仿宋_GB2312" w:eastAsia="仿宋_GB2312" w:cs="仿宋_GB2312"/>
          <w:snapToGrid w:val="0"/>
          <w:color w:val="000000"/>
          <w:sz w:val="32"/>
          <w:szCs w:val="32"/>
        </w:rPr>
        <w:t>累计印发各类宣传材料</w:t>
      </w:r>
      <w:r>
        <w:rPr>
          <w:rFonts w:hint="eastAsia" w:ascii="仿宋_GB2312" w:hAnsi="仿宋_GB2312" w:eastAsia="仿宋_GB2312" w:cs="仿宋_GB2312"/>
          <w:snapToGrid w:val="0"/>
          <w:color w:val="000000"/>
          <w:sz w:val="32"/>
          <w:szCs w:val="32"/>
          <w:lang w:val="en-US" w:eastAsia="zh-CN"/>
        </w:rPr>
        <w:t>2</w:t>
      </w:r>
      <w:r>
        <w:rPr>
          <w:rFonts w:hint="eastAsia" w:ascii="仿宋_GB2312" w:hAnsi="仿宋_GB2312" w:eastAsia="仿宋_GB2312" w:cs="仿宋_GB2312"/>
          <w:snapToGrid w:val="0"/>
          <w:color w:val="000000"/>
          <w:sz w:val="32"/>
          <w:szCs w:val="32"/>
        </w:rPr>
        <w:t>万余份</w:t>
      </w:r>
      <w:r>
        <w:rPr>
          <w:rFonts w:hint="eastAsia" w:ascii="仿宋_GB2312" w:hAnsi="仿宋_GB2312" w:eastAsia="仿宋_GB2312" w:cs="仿宋_GB2312"/>
          <w:color w:val="000000"/>
          <w:kern w:val="0"/>
          <w:sz w:val="32"/>
          <w:szCs w:val="32"/>
          <w:lang w:val="en-US" w:eastAsia="zh-CN" w:bidi="ar"/>
        </w:rPr>
        <w:t>。重点宣传国家安全、信访工作条例、社会治安、婚姻家庭、土地管理和民法典等与群众生产、生活密切相关的法律知识，开创了上下联动、互相呼应、丰富生动的法制宣传教育新局面。石槽集乡充分发挥自身优势，在全乡性重大活动期间，乡平安办组织乡司法所、派出所等相关成员单位开展专题宣传10余次，受教群众5000余人，受到群众的一致好评，全乡上下掀起一股学法、用法、守法的热潮。</w:t>
      </w:r>
    </w:p>
    <w:p>
      <w:pPr>
        <w:keepNext w:val="0"/>
        <w:keepLines w:val="0"/>
        <w:widowControl/>
        <w:suppressLineNumbers w:val="0"/>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lang w:val="en-US" w:eastAsia="zh-CN" w:bidi="ar"/>
        </w:rPr>
        <w:t>（五）健全突发事件应对体系，依法预防处置重大突发事件。</w:t>
      </w:r>
      <w:r>
        <w:rPr>
          <w:rFonts w:hint="eastAsia" w:ascii="仿宋_GB2312" w:hAnsi="仿宋_GB2312" w:eastAsia="仿宋_GB2312" w:cs="仿宋_GB2312"/>
          <w:color w:val="000000"/>
          <w:kern w:val="0"/>
          <w:sz w:val="32"/>
          <w:szCs w:val="32"/>
          <w:lang w:val="en-US" w:eastAsia="zh-CN" w:bidi="ar"/>
        </w:rPr>
        <w:t>根据国家突发事件总体应急预案制定以及专项应急预案修订情况,及时修订2023年石槽集乡突发事件总体和专项应急预案,完善覆盖各级、各部门、各行业的突发事件应急预案体系。督促33个行政村及行业部门同步制定应急预案，提高突发事件应对法治化规范化水平。</w:t>
      </w:r>
      <w:r>
        <w:rPr>
          <w:rFonts w:hint="eastAsia" w:ascii="仿宋_GB2312" w:hAnsi="仿宋_GB2312" w:eastAsia="仿宋_GB2312" w:cs="仿宋_GB2312"/>
          <w:i w:val="0"/>
          <w:iCs w:val="0"/>
          <w:caps w:val="0"/>
          <w:color w:val="333333"/>
          <w:spacing w:val="0"/>
          <w:sz w:val="32"/>
          <w:szCs w:val="32"/>
          <w:shd w:val="clear" w:fill="FFFFFF"/>
        </w:rPr>
        <w:t>全面落实党委法律顾问制度，发挥法律顾问职责作用。进一步加强组织协调，规范政府行政行为，加快依法行政建设步伐。聘请专业律师积极深入</w:t>
      </w:r>
      <w:r>
        <w:rPr>
          <w:rFonts w:hint="eastAsia" w:ascii="仿宋_GB2312" w:hAnsi="仿宋_GB2312" w:eastAsia="仿宋_GB2312" w:cs="仿宋_GB2312"/>
          <w:i w:val="0"/>
          <w:iCs w:val="0"/>
          <w:caps w:val="0"/>
          <w:color w:val="333333"/>
          <w:spacing w:val="0"/>
          <w:sz w:val="32"/>
          <w:szCs w:val="32"/>
          <w:shd w:val="clear" w:fill="FFFFFF"/>
          <w:lang w:eastAsia="zh-CN"/>
        </w:rPr>
        <w:t>乡</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村</w:t>
      </w:r>
      <w:r>
        <w:rPr>
          <w:rFonts w:hint="eastAsia" w:ascii="仿宋_GB2312" w:hAnsi="仿宋_GB2312" w:eastAsia="仿宋_GB2312" w:cs="仿宋_GB2312"/>
          <w:i w:val="0"/>
          <w:iCs w:val="0"/>
          <w:caps w:val="0"/>
          <w:color w:val="333333"/>
          <w:spacing w:val="0"/>
          <w:sz w:val="32"/>
          <w:szCs w:val="32"/>
          <w:shd w:val="clear" w:fill="FFFFFF"/>
        </w:rPr>
        <w:t>，积极为群众提供法律服务，办实事，解难题，依法调处各类社会矛盾纠纷</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color w:val="000000"/>
          <w:kern w:val="0"/>
          <w:sz w:val="32"/>
          <w:szCs w:val="32"/>
          <w:lang w:val="en-US" w:eastAsia="zh-CN" w:bidi="ar"/>
        </w:rPr>
        <w:t>有备必审、有错必纠”,明确1名同志专门负责文件审核工作，对发现未依照法定程序制发和存在违法问题的行政规范性文件,及时进行修改。</w:t>
      </w:r>
    </w:p>
    <w:p>
      <w:pPr>
        <w:keepNext w:val="0"/>
        <w:keepLines w:val="0"/>
        <w:widowControl/>
        <w:suppressLineNumbers w:val="0"/>
        <w:ind w:firstLine="643" w:firstLineChars="200"/>
        <w:jc w:val="left"/>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 xml:space="preserve"> 三、存在的不足、原因和问题整改情况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textAlignment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color w:val="000000"/>
          <w:kern w:val="0"/>
          <w:sz w:val="32"/>
          <w:szCs w:val="32"/>
          <w:lang w:val="en-US" w:eastAsia="zh-CN" w:bidi="ar"/>
        </w:rPr>
        <w:t>存在的问题主要有：</w:t>
      </w:r>
      <w:r>
        <w:rPr>
          <w:rFonts w:hint="eastAsia" w:ascii="仿宋_GB2312" w:hAnsi="仿宋_GB2312" w:eastAsia="仿宋_GB2312" w:cs="仿宋_GB2312"/>
          <w:i w:val="0"/>
          <w:iCs w:val="0"/>
          <w:caps w:val="0"/>
          <w:color w:val="333333"/>
          <w:spacing w:val="0"/>
          <w:sz w:val="32"/>
          <w:szCs w:val="32"/>
          <w:shd w:val="clear" w:fill="FFFFFF"/>
        </w:rPr>
        <w:t>一是学习宣传还需进一步加强。部分工作人员认识上存在偏差，存在着只要把上级或有关部门交办的任务完成就过关的思想，对相关法治政府建设文件要求理解得不够深不够透，容易因小失大，对实际工作的指导性不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textAlignment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二是日常工作责任落实不够到位</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color w:val="000000"/>
          <w:kern w:val="0"/>
          <w:sz w:val="32"/>
          <w:szCs w:val="32"/>
          <w:lang w:val="en-US" w:eastAsia="zh-CN" w:bidi="ar"/>
        </w:rPr>
        <w:t>没有真正把依法办事落实到具体的行政管理工作中去，依法行政水平不高。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both"/>
        <w:textAlignment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color w:val="000000"/>
          <w:kern w:val="0"/>
          <w:sz w:val="32"/>
          <w:szCs w:val="32"/>
          <w:lang w:val="en-US" w:eastAsia="zh-CN" w:bidi="ar"/>
        </w:rPr>
        <w:t>主要原因是：</w:t>
      </w:r>
      <w:r>
        <w:rPr>
          <w:rFonts w:hint="eastAsia" w:ascii="仿宋_GB2312" w:hAnsi="仿宋_GB2312" w:eastAsia="仿宋_GB2312" w:cs="仿宋_GB2312"/>
          <w:b w:val="0"/>
          <w:bCs w:val="0"/>
          <w:color w:val="000000"/>
          <w:kern w:val="0"/>
          <w:sz w:val="32"/>
          <w:szCs w:val="32"/>
          <w:lang w:val="en-US" w:eastAsia="zh-CN" w:bidi="ar"/>
        </w:rPr>
        <w:t>一是</w:t>
      </w:r>
      <w:r>
        <w:rPr>
          <w:rFonts w:hint="eastAsia" w:ascii="仿宋_GB2312" w:hAnsi="仿宋_GB2312" w:eastAsia="仿宋_GB2312" w:cs="仿宋_GB2312"/>
          <w:i w:val="0"/>
          <w:iCs w:val="0"/>
          <w:caps w:val="0"/>
          <w:color w:val="333333"/>
          <w:spacing w:val="0"/>
          <w:sz w:val="32"/>
          <w:szCs w:val="32"/>
          <w:shd w:val="clear" w:fill="FFFFFF"/>
        </w:rPr>
        <w:t>在矛盾排查工作中存在不细不全，重调</w:t>
      </w:r>
      <w:r>
        <w:rPr>
          <w:rFonts w:hint="eastAsia" w:ascii="仿宋_GB2312" w:hAnsi="仿宋_GB2312" w:eastAsia="仿宋_GB2312" w:cs="仿宋_GB2312"/>
          <w:i w:val="0"/>
          <w:iCs w:val="0"/>
          <w:caps w:val="0"/>
          <w:color w:val="333333"/>
          <w:spacing w:val="0"/>
          <w:sz w:val="32"/>
          <w:szCs w:val="32"/>
          <w:shd w:val="clear" w:fill="FFFFFF"/>
          <w:lang w:val="en-US" w:eastAsia="zh-CN"/>
        </w:rPr>
        <w:t>解</w:t>
      </w:r>
      <w:r>
        <w:rPr>
          <w:rFonts w:hint="eastAsia" w:ascii="仿宋_GB2312" w:hAnsi="仿宋_GB2312" w:eastAsia="仿宋_GB2312" w:cs="仿宋_GB2312"/>
          <w:i w:val="0"/>
          <w:iCs w:val="0"/>
          <w:caps w:val="0"/>
          <w:color w:val="333333"/>
          <w:spacing w:val="0"/>
          <w:sz w:val="32"/>
          <w:szCs w:val="32"/>
          <w:shd w:val="clear" w:fill="FFFFFF"/>
        </w:rPr>
        <w:t>轻</w:t>
      </w:r>
      <w:r>
        <w:rPr>
          <w:rFonts w:hint="eastAsia" w:ascii="仿宋_GB2312" w:hAnsi="仿宋_GB2312" w:eastAsia="仿宋_GB2312" w:cs="仿宋_GB2312"/>
          <w:i w:val="0"/>
          <w:iCs w:val="0"/>
          <w:caps w:val="0"/>
          <w:color w:val="333333"/>
          <w:spacing w:val="0"/>
          <w:sz w:val="32"/>
          <w:szCs w:val="32"/>
          <w:shd w:val="clear" w:fill="FFFFFF"/>
          <w:lang w:val="en-US" w:eastAsia="zh-CN"/>
        </w:rPr>
        <w:t>防范</w:t>
      </w:r>
      <w:r>
        <w:rPr>
          <w:rFonts w:hint="eastAsia" w:ascii="仿宋_GB2312" w:hAnsi="仿宋_GB2312" w:eastAsia="仿宋_GB2312" w:cs="仿宋_GB2312"/>
          <w:i w:val="0"/>
          <w:iCs w:val="0"/>
          <w:caps w:val="0"/>
          <w:color w:val="333333"/>
          <w:spacing w:val="0"/>
          <w:sz w:val="32"/>
          <w:szCs w:val="32"/>
          <w:shd w:val="clear" w:fill="FFFFFF"/>
        </w:rPr>
        <w:t>现象，没有最大限度发挥人民调解预防纠纷的作用，对一些多发性、易发性纠纷疏于防范，往往是等矛盾出现了再去调解，造成调解成本高，效果不够理想，且资料收集存在延时的情况。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textAlignment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二是</w:t>
      </w:r>
      <w:r>
        <w:rPr>
          <w:rFonts w:hint="eastAsia" w:ascii="仿宋_GB2312" w:hAnsi="仿宋_GB2312" w:eastAsia="仿宋_GB2312" w:cs="仿宋_GB2312"/>
          <w:i w:val="0"/>
          <w:iCs w:val="0"/>
          <w:caps w:val="0"/>
          <w:color w:val="333333"/>
          <w:spacing w:val="0"/>
          <w:sz w:val="32"/>
          <w:szCs w:val="32"/>
          <w:shd w:val="clear" w:fill="FFFFFF"/>
        </w:rPr>
        <w:t>社会对</w:t>
      </w:r>
      <w:r>
        <w:rPr>
          <w:rFonts w:hint="eastAsia" w:ascii="仿宋_GB2312" w:hAnsi="仿宋_GB2312" w:eastAsia="仿宋_GB2312" w:cs="仿宋_GB2312"/>
          <w:i w:val="0"/>
          <w:iCs w:val="0"/>
          <w:caps w:val="0"/>
          <w:color w:val="333333"/>
          <w:spacing w:val="0"/>
          <w:sz w:val="32"/>
          <w:szCs w:val="32"/>
          <w:shd w:val="clear" w:fill="FFFFFF"/>
          <w:lang w:val="en-US" w:eastAsia="zh-CN"/>
        </w:rPr>
        <w:t>矛盾纠纷化解形式认知单一</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部分矛盾拒绝通过司法途径进行解决，</w:t>
      </w:r>
      <w:r>
        <w:rPr>
          <w:rFonts w:hint="eastAsia" w:ascii="仿宋_GB2312" w:hAnsi="仿宋_GB2312" w:eastAsia="仿宋_GB2312" w:cs="仿宋_GB2312"/>
          <w:i w:val="0"/>
          <w:iCs w:val="0"/>
          <w:caps w:val="0"/>
          <w:color w:val="333333"/>
          <w:spacing w:val="0"/>
          <w:sz w:val="32"/>
          <w:szCs w:val="32"/>
          <w:shd w:val="clear" w:fill="FFFFFF"/>
        </w:rPr>
        <w:t>纠纷调解中，存在当事人不愿意接受到法院以外地方进行调解的现象。</w:t>
      </w:r>
    </w:p>
    <w:p>
      <w:pPr>
        <w:keepNext w:val="0"/>
        <w:keepLines w:val="0"/>
        <w:widowControl/>
        <w:suppressLineNumbers w:val="0"/>
        <w:ind w:firstLine="643"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问题整改情况：</w:t>
      </w:r>
      <w:r>
        <w:rPr>
          <w:rFonts w:hint="eastAsia" w:ascii="仿宋_GB2312" w:hAnsi="仿宋_GB2312" w:eastAsia="仿宋_GB2312" w:cs="仿宋_GB2312"/>
          <w:color w:val="000000"/>
          <w:kern w:val="0"/>
          <w:sz w:val="32"/>
          <w:szCs w:val="32"/>
          <w:lang w:val="en-US" w:eastAsia="zh-CN" w:bidi="ar"/>
        </w:rPr>
        <w:t>一是狠抓领导干部和公职人员学法。建立了党委中心组学法制度和学法计划，做到“三个一”：即有一份学习计划、有一套学习资料、有一本学法笔记本。党员干部的用法和依法行政等意识得到了全面的提高。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textAlignment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color w:val="000000"/>
          <w:kern w:val="0"/>
          <w:sz w:val="32"/>
          <w:szCs w:val="32"/>
          <w:lang w:val="en-US" w:eastAsia="zh-CN" w:bidi="ar"/>
        </w:rPr>
        <w:t>二是2023年度石槽集乡综合行政执法大队按照上级要求，定期组织全队工作人员开展学习培训各项公共法律知识，达到石槽集乡综合行政执法大队全覆盖。积极参加县司法局组织的各个视频会议、现场会议、执法大比武活动，省、市执法业务知识培训等各项活动并组织关于各项培训内容的考试。</w:t>
      </w:r>
    </w:p>
    <w:p>
      <w:pPr>
        <w:keepNext w:val="0"/>
        <w:keepLines w:val="0"/>
        <w:widowControl/>
        <w:suppressLineNumbers w:val="0"/>
        <w:ind w:firstLine="643" w:firstLineChars="200"/>
        <w:jc w:val="left"/>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四、下一年度法治政府建设的初步安排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（一）加大宣传引导，完善</w:t>
      </w:r>
      <w:r>
        <w:rPr>
          <w:rFonts w:hint="eastAsia" w:ascii="仿宋_GB2312" w:hAnsi="仿宋_GB2312" w:eastAsia="仿宋_GB2312" w:cs="仿宋_GB2312"/>
          <w:b/>
          <w:bCs/>
          <w:i w:val="0"/>
          <w:iCs w:val="0"/>
          <w:caps w:val="0"/>
          <w:color w:val="333333"/>
          <w:spacing w:val="0"/>
          <w:sz w:val="32"/>
          <w:szCs w:val="32"/>
          <w:shd w:val="clear" w:fill="FFFFFF"/>
          <w:lang w:val="en-US" w:eastAsia="zh-CN"/>
        </w:rPr>
        <w:t>各项</w:t>
      </w:r>
      <w:r>
        <w:rPr>
          <w:rFonts w:hint="eastAsia" w:ascii="仿宋_GB2312" w:hAnsi="仿宋_GB2312" w:eastAsia="仿宋_GB2312" w:cs="仿宋_GB2312"/>
          <w:b/>
          <w:bCs/>
          <w:i w:val="0"/>
          <w:iCs w:val="0"/>
          <w:caps w:val="0"/>
          <w:color w:val="333333"/>
          <w:spacing w:val="0"/>
          <w:sz w:val="32"/>
          <w:szCs w:val="32"/>
          <w:shd w:val="clear" w:fill="FFFFFF"/>
        </w:rPr>
        <w:t>机制。</w:t>
      </w:r>
      <w:r>
        <w:rPr>
          <w:rFonts w:hint="eastAsia" w:ascii="仿宋_GB2312" w:hAnsi="仿宋_GB2312" w:eastAsia="仿宋_GB2312" w:cs="仿宋_GB2312"/>
          <w:i w:val="0"/>
          <w:iCs w:val="0"/>
          <w:caps w:val="0"/>
          <w:color w:val="333333"/>
          <w:spacing w:val="0"/>
          <w:sz w:val="32"/>
          <w:szCs w:val="32"/>
          <w:shd w:val="clear" w:fill="FFFFFF"/>
        </w:rPr>
        <w:t>紧密结合实际，利用电子荧屏、流动媒介、网站等多种媒体，提高法律普及效果，全面推进依法治理工作的深入开展。建立健全行政执法各项制度，以制度规范行为，以考评落实制度，进一步加强执法队伍培训，提高依法行政工作能力。继续抓好学法、知法、守法和依法行政的教育活动，把干部学法用法情况，是否具备法制观念、掌握与履行职责有关的法律知识和依法办事的能力，作为干部考核、任用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（二）扩大覆盖范围，完善多元化</w:t>
      </w:r>
      <w:r>
        <w:rPr>
          <w:rFonts w:hint="eastAsia" w:ascii="仿宋_GB2312" w:hAnsi="仿宋_GB2312" w:eastAsia="仿宋_GB2312" w:cs="仿宋_GB2312"/>
          <w:b/>
          <w:bCs/>
          <w:i w:val="0"/>
          <w:iCs w:val="0"/>
          <w:caps w:val="0"/>
          <w:color w:val="333333"/>
          <w:spacing w:val="0"/>
          <w:sz w:val="32"/>
          <w:szCs w:val="32"/>
          <w:shd w:val="clear" w:fill="FFFFFF"/>
          <w:lang w:val="en-US" w:eastAsia="zh-CN"/>
        </w:rPr>
        <w:t>联动</w:t>
      </w:r>
      <w:r>
        <w:rPr>
          <w:rFonts w:hint="eastAsia" w:ascii="仿宋_GB2312" w:hAnsi="仿宋_GB2312" w:eastAsia="仿宋_GB2312" w:cs="仿宋_GB2312"/>
          <w:b/>
          <w:bCs/>
          <w:i w:val="0"/>
          <w:iCs w:val="0"/>
          <w:caps w:val="0"/>
          <w:color w:val="333333"/>
          <w:spacing w:val="0"/>
          <w:sz w:val="32"/>
          <w:szCs w:val="32"/>
          <w:shd w:val="clear" w:fill="FFFFFF"/>
        </w:rPr>
        <w:t>机制。</w:t>
      </w:r>
      <w:r>
        <w:rPr>
          <w:rFonts w:hint="eastAsia" w:ascii="仿宋_GB2312" w:hAnsi="仿宋_GB2312" w:eastAsia="仿宋_GB2312" w:cs="仿宋_GB2312"/>
          <w:i w:val="0"/>
          <w:iCs w:val="0"/>
          <w:caps w:val="0"/>
          <w:color w:val="333333"/>
          <w:spacing w:val="0"/>
          <w:sz w:val="32"/>
          <w:szCs w:val="32"/>
          <w:shd w:val="clear" w:fill="FFFFFF"/>
          <w:lang w:val="en-US" w:eastAsia="zh-CN"/>
        </w:rPr>
        <w:t>大力推行“三联三化”工作机制</w:t>
      </w:r>
      <w:r>
        <w:rPr>
          <w:rFonts w:hint="eastAsia" w:ascii="仿宋_GB2312" w:hAnsi="仿宋_GB2312" w:eastAsia="仿宋_GB2312" w:cs="仿宋_GB2312"/>
          <w:i w:val="0"/>
          <w:iCs w:val="0"/>
          <w:caps w:val="0"/>
          <w:color w:val="333333"/>
          <w:spacing w:val="0"/>
          <w:sz w:val="32"/>
          <w:szCs w:val="32"/>
          <w:shd w:val="clear" w:fill="FFFFFF"/>
        </w:rPr>
        <w:t>，依法、及时、就地化解矛盾纠纷。加强行业性、专业性人民调解组织建设，培育壮大调解员队伍。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（三）细化落实责任，完善各项保障措施。</w:t>
      </w:r>
      <w:r>
        <w:rPr>
          <w:rFonts w:hint="eastAsia" w:ascii="仿宋_GB2312" w:hAnsi="仿宋_GB2312" w:eastAsia="仿宋_GB2312" w:cs="仿宋_GB2312"/>
          <w:i w:val="0"/>
          <w:iCs w:val="0"/>
          <w:caps w:val="0"/>
          <w:color w:val="333333"/>
          <w:spacing w:val="0"/>
          <w:sz w:val="32"/>
          <w:szCs w:val="32"/>
          <w:shd w:val="clear" w:fill="FFFFFF"/>
        </w:rPr>
        <w:t>加强党委</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政府</w:t>
      </w:r>
      <w:r>
        <w:rPr>
          <w:rFonts w:hint="eastAsia" w:ascii="仿宋_GB2312" w:hAnsi="仿宋_GB2312" w:eastAsia="仿宋_GB2312" w:cs="仿宋_GB2312"/>
          <w:i w:val="0"/>
          <w:iCs w:val="0"/>
          <w:caps w:val="0"/>
          <w:color w:val="333333"/>
          <w:spacing w:val="0"/>
          <w:sz w:val="32"/>
          <w:szCs w:val="32"/>
          <w:shd w:val="clear" w:fill="FFFFFF"/>
        </w:rPr>
        <w:t>对法治工作的支持保障作用，充实法治干部队伍建设，完善法治监督体系，把法治建设相关工作经费纳入财政预算。加大对诉源机制的经费投入，配备专人进行诉源案件的处理，严格按照法治建设标准开展工作，坚持公正为民，依法办事，切实维护人民群众的根本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center"/>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textAlignment w:val="center"/>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5440" w:firstLineChars="1700"/>
        <w:jc w:val="both"/>
        <w:textAlignment w:val="center"/>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5440" w:firstLineChars="1700"/>
        <w:jc w:val="both"/>
        <w:textAlignment w:val="center"/>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5440" w:firstLineChars="1700"/>
        <w:jc w:val="both"/>
        <w:textAlignment w:val="center"/>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5440" w:firstLineChars="1700"/>
        <w:jc w:val="both"/>
        <w:textAlignment w:val="center"/>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5440" w:firstLineChars="1700"/>
        <w:jc w:val="both"/>
        <w:textAlignment w:val="center"/>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5440" w:firstLineChars="1700"/>
        <w:jc w:val="both"/>
        <w:textAlignment w:val="center"/>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石槽集乡人民政府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textAlignment w:val="center"/>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2023年12月15日</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jc w:val="both"/>
        <w:rPr>
          <w:rFonts w:hint="eastAsia" w:ascii="仿宋_GB2312" w:hAnsi="仿宋_GB2312" w:eastAsia="仿宋_GB2312" w:cs="仿宋_GB2312"/>
          <w:i w:val="0"/>
          <w:iCs w:val="0"/>
          <w:caps w:val="0"/>
          <w:color w:val="333333"/>
          <w:spacing w:val="0"/>
          <w:sz w:val="32"/>
          <w:szCs w:val="32"/>
          <w:shd w:val="clear" w:fill="FFFFFF"/>
        </w:rPr>
      </w:pPr>
    </w:p>
    <w:p>
      <w:pPr>
        <w:jc w:val="left"/>
        <w:rPr>
          <w:rFonts w:hint="eastAsia" w:ascii="仿宋_GB2312" w:hAnsi="仿宋_GB2312" w:eastAsia="仿宋_GB2312" w:cs="仿宋_GB2312"/>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right"/>
        <w:textAlignment w:val="auto"/>
        <w:outlineLvl w:val="9"/>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NGFkNjRhNzlkM2VlYjIyMDdjMTIxZTY5ZDMxM2QifQ=="/>
  </w:docVars>
  <w:rsids>
    <w:rsidRoot w:val="1DCD55F1"/>
    <w:rsid w:val="000C4E51"/>
    <w:rsid w:val="00B413B4"/>
    <w:rsid w:val="01937637"/>
    <w:rsid w:val="0520427F"/>
    <w:rsid w:val="05F91019"/>
    <w:rsid w:val="07F63FA9"/>
    <w:rsid w:val="08C45FB1"/>
    <w:rsid w:val="093248E4"/>
    <w:rsid w:val="0A80390B"/>
    <w:rsid w:val="0AC65D24"/>
    <w:rsid w:val="0B7D0FF4"/>
    <w:rsid w:val="0D3E5934"/>
    <w:rsid w:val="0E433BC2"/>
    <w:rsid w:val="0F8D1DC1"/>
    <w:rsid w:val="0FF10A25"/>
    <w:rsid w:val="11860D8F"/>
    <w:rsid w:val="12C017E8"/>
    <w:rsid w:val="133E1D15"/>
    <w:rsid w:val="13A87292"/>
    <w:rsid w:val="13B02269"/>
    <w:rsid w:val="15853374"/>
    <w:rsid w:val="17E409C2"/>
    <w:rsid w:val="1BB84796"/>
    <w:rsid w:val="1DCD55F1"/>
    <w:rsid w:val="1E793EBE"/>
    <w:rsid w:val="1EE5297C"/>
    <w:rsid w:val="1FC27B8C"/>
    <w:rsid w:val="218B35EF"/>
    <w:rsid w:val="218C6031"/>
    <w:rsid w:val="226A440A"/>
    <w:rsid w:val="272C1777"/>
    <w:rsid w:val="29126CD0"/>
    <w:rsid w:val="2AF125AB"/>
    <w:rsid w:val="2B3F7B39"/>
    <w:rsid w:val="2C153D78"/>
    <w:rsid w:val="2FD31502"/>
    <w:rsid w:val="30D27375"/>
    <w:rsid w:val="326326BA"/>
    <w:rsid w:val="326A6987"/>
    <w:rsid w:val="33A71588"/>
    <w:rsid w:val="343B4AEE"/>
    <w:rsid w:val="35DB7FDF"/>
    <w:rsid w:val="38B010F3"/>
    <w:rsid w:val="391C3600"/>
    <w:rsid w:val="392676E2"/>
    <w:rsid w:val="3D3500F0"/>
    <w:rsid w:val="40B1233E"/>
    <w:rsid w:val="45F922F5"/>
    <w:rsid w:val="48975BCA"/>
    <w:rsid w:val="4B9037D8"/>
    <w:rsid w:val="4BF77D25"/>
    <w:rsid w:val="4C7F4A72"/>
    <w:rsid w:val="4DFE1FB1"/>
    <w:rsid w:val="500564C9"/>
    <w:rsid w:val="547365B8"/>
    <w:rsid w:val="55867A91"/>
    <w:rsid w:val="58CC32BA"/>
    <w:rsid w:val="5ADA2E47"/>
    <w:rsid w:val="5BF7509C"/>
    <w:rsid w:val="5E9D4A26"/>
    <w:rsid w:val="60422E8E"/>
    <w:rsid w:val="622853EF"/>
    <w:rsid w:val="656F4FC2"/>
    <w:rsid w:val="667442BC"/>
    <w:rsid w:val="66D70A33"/>
    <w:rsid w:val="6785596B"/>
    <w:rsid w:val="6C5A38AB"/>
    <w:rsid w:val="6DE66162"/>
    <w:rsid w:val="73FC13B3"/>
    <w:rsid w:val="74584660"/>
    <w:rsid w:val="763B49F4"/>
    <w:rsid w:val="77FD50E5"/>
    <w:rsid w:val="7CD411A8"/>
    <w:rsid w:val="7D247E8A"/>
    <w:rsid w:val="7D725C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465</Words>
  <Characters>508</Characters>
  <Lines>0</Lines>
  <Paragraphs>0</Paragraphs>
  <TotalTime>20</TotalTime>
  <ScaleCrop>false</ScaleCrop>
  <LinksUpToDate>false</LinksUpToDate>
  <CharactersWithSpaces>564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2017-01-06T03:53:00Z</dcterms:created>
  <dc:creator>Administrator</dc:creator>
  <cp:lastModifiedBy>晨哥加油</cp:lastModifiedBy>
  <cp:lastPrinted>2023-12-19T10:42:00Z</cp:lastPrinted>
  <dcterms:modified xsi:type="dcterms:W3CDTF">2023-12-21T10:38:24Z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9BAA5541BE124BDFAC289CFC925E83EF_13</vt:lpwstr>
  </property>
</Properties>
</file>