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小标宋简体" w:cs="Times New Roman"/>
          <w:b/>
          <w:bCs/>
          <w:sz w:val="44"/>
          <w:szCs w:val="44"/>
          <w:lang w:eastAsia="zh-CN"/>
        </w:rPr>
      </w:pPr>
      <w:bookmarkStart w:id="0" w:name="_Toc88841681"/>
    </w:p>
    <w:p>
      <w:pPr>
        <w:spacing w:line="580" w:lineRule="exact"/>
        <w:jc w:val="center"/>
        <w:rPr>
          <w:rFonts w:hint="eastAsia" w:ascii="Times New Roman" w:hAnsi="Times New Roman" w:eastAsia="方正小标宋简体" w:cs="Times New Roman"/>
          <w:b/>
          <w:bCs/>
          <w:sz w:val="44"/>
          <w:szCs w:val="44"/>
          <w:lang w:eastAsia="zh-CN"/>
        </w:rPr>
      </w:pPr>
    </w:p>
    <w:p>
      <w:pPr>
        <w:spacing w:line="580" w:lineRule="exact"/>
        <w:jc w:val="center"/>
        <w:rPr>
          <w:rFonts w:hint="eastAsia" w:ascii="Times New Roman" w:hAnsi="Times New Roman" w:eastAsia="方正小标宋简体" w:cs="Times New Roman"/>
          <w:b/>
          <w:bCs/>
          <w:sz w:val="44"/>
          <w:szCs w:val="44"/>
          <w:lang w:eastAsia="zh-CN"/>
        </w:rPr>
      </w:pPr>
    </w:p>
    <w:p>
      <w:pPr>
        <w:spacing w:line="580" w:lineRule="exact"/>
        <w:jc w:val="center"/>
        <w:rPr>
          <w:rFonts w:hint="eastAsia" w:ascii="Times New Roman" w:hAnsi="Times New Roman" w:eastAsia="方正小标宋简体" w:cs="Times New Roman"/>
          <w:b/>
          <w:bCs/>
          <w:sz w:val="44"/>
          <w:szCs w:val="44"/>
          <w:lang w:eastAsia="zh-CN"/>
        </w:rPr>
      </w:pPr>
    </w:p>
    <w:p>
      <w:pPr>
        <w:spacing w:line="580" w:lineRule="exact"/>
        <w:jc w:val="both"/>
        <w:rPr>
          <w:rFonts w:hint="eastAsia" w:ascii="仿宋_GB2312" w:hAnsi="仿宋_GB2312" w:eastAsia="仿宋_GB2312" w:cs="仿宋_GB2312"/>
          <w:b w:val="0"/>
          <w:bCs w:val="0"/>
          <w:sz w:val="32"/>
          <w:szCs w:val="32"/>
          <w:lang w:eastAsia="zh-CN"/>
        </w:rPr>
      </w:pPr>
    </w:p>
    <w:p>
      <w:pPr>
        <w:spacing w:line="580" w:lineRule="exact"/>
        <w:jc w:val="center"/>
        <w:rPr>
          <w:rFonts w:hint="eastAsia" w:ascii="仿宋" w:hAnsi="仿宋" w:eastAsia="仿宋" w:cs="仿宋"/>
          <w:b/>
          <w:bCs/>
          <w:sz w:val="28"/>
          <w:szCs w:val="32"/>
          <w:lang w:eastAsia="zh-CN"/>
        </w:rPr>
      </w:pPr>
      <w:r>
        <w:rPr>
          <w:rFonts w:hint="eastAsia" w:ascii="仿宋" w:hAnsi="仿宋" w:eastAsia="仿宋" w:cs="仿宋"/>
          <w:b w:val="0"/>
          <w:bCs w:val="0"/>
          <w:sz w:val="28"/>
          <w:szCs w:val="32"/>
          <w:lang w:eastAsia="zh-CN"/>
        </w:rPr>
        <w:t>城</w:t>
      </w:r>
      <w:r>
        <w:rPr>
          <w:rFonts w:hint="eastAsia" w:ascii="仿宋" w:hAnsi="仿宋" w:eastAsia="仿宋" w:cs="仿宋"/>
          <w:b w:val="0"/>
          <w:bCs w:val="0"/>
          <w:sz w:val="28"/>
          <w:szCs w:val="32"/>
          <w:lang w:val="en-US" w:eastAsia="zh-CN"/>
        </w:rPr>
        <w:t>政</w:t>
      </w:r>
      <w:r>
        <w:rPr>
          <w:rFonts w:hint="eastAsia" w:ascii="仿宋" w:hAnsi="仿宋" w:eastAsia="仿宋" w:cs="仿宋"/>
          <w:b w:val="0"/>
          <w:bCs w:val="0"/>
          <w:sz w:val="28"/>
          <w:szCs w:val="32"/>
          <w:lang w:eastAsia="zh-CN"/>
        </w:rPr>
        <w:t>〔</w:t>
      </w:r>
      <w:r>
        <w:rPr>
          <w:rFonts w:hint="eastAsia" w:ascii="仿宋" w:hAnsi="仿宋" w:eastAsia="仿宋" w:cs="仿宋"/>
          <w:b w:val="0"/>
          <w:bCs w:val="0"/>
          <w:sz w:val="28"/>
          <w:szCs w:val="32"/>
          <w:lang w:val="en-US" w:eastAsia="zh-CN"/>
        </w:rPr>
        <w:t>2023</w:t>
      </w:r>
      <w:r>
        <w:rPr>
          <w:rFonts w:hint="eastAsia" w:ascii="仿宋" w:hAnsi="仿宋" w:eastAsia="仿宋" w:cs="仿宋"/>
          <w:b w:val="0"/>
          <w:bCs w:val="0"/>
          <w:sz w:val="28"/>
          <w:szCs w:val="32"/>
          <w:lang w:eastAsia="zh-CN"/>
        </w:rPr>
        <w:t>〕</w:t>
      </w:r>
      <w:r>
        <w:rPr>
          <w:rFonts w:hint="eastAsia" w:ascii="仿宋" w:hAnsi="仿宋" w:cs="仿宋"/>
          <w:b w:val="0"/>
          <w:bCs w:val="0"/>
          <w:sz w:val="28"/>
          <w:szCs w:val="32"/>
          <w:lang w:val="en-US" w:eastAsia="zh-CN"/>
        </w:rPr>
        <w:t>83</w:t>
      </w:r>
      <w:r>
        <w:rPr>
          <w:rFonts w:hint="eastAsia" w:ascii="仿宋" w:hAnsi="仿宋" w:eastAsia="仿宋" w:cs="仿宋"/>
          <w:b w:val="0"/>
          <w:bCs w:val="0"/>
          <w:sz w:val="28"/>
          <w:szCs w:val="32"/>
          <w:lang w:eastAsia="zh-CN"/>
        </w:rPr>
        <w:t>号</w:t>
      </w:r>
    </w:p>
    <w:p>
      <w:pPr>
        <w:pStyle w:val="2"/>
        <w:jc w:val="center"/>
        <w:rPr>
          <w:rFonts w:hint="eastAsia" w:ascii="方正小标宋简体" w:hAnsi="方正小标宋简体" w:eastAsia="方正小标宋简体" w:cs="方正小标宋简体"/>
          <w:b/>
          <w:sz w:val="44"/>
          <w:lang w:eastAsia="zh-CN"/>
        </w:rPr>
      </w:pPr>
    </w:p>
    <w:p>
      <w:pPr>
        <w:pStyle w:val="2"/>
        <w:rPr>
          <w:rFonts w:cs="Times New Roman"/>
          <w:b/>
        </w:rPr>
      </w:pPr>
      <w:r>
        <w:rPr>
          <w:rFonts w:hint="eastAsia" w:cs="Times New Roman"/>
          <w:b/>
          <w:lang w:eastAsia="zh-CN"/>
        </w:rPr>
        <w:t>老城</w:t>
      </w:r>
      <w:r>
        <w:rPr>
          <w:rFonts w:cs="Times New Roman"/>
          <w:b/>
        </w:rPr>
        <w:t>镇人民政府</w:t>
      </w:r>
    </w:p>
    <w:p>
      <w:pPr>
        <w:pStyle w:val="2"/>
        <w:rPr>
          <w:rFonts w:hint="eastAsia" w:cs="Times New Roman"/>
          <w:b/>
          <w:lang w:val="en-US" w:eastAsia="zh-CN"/>
        </w:rPr>
      </w:pPr>
      <w:bookmarkStart w:id="1" w:name="_GoBack"/>
      <w:bookmarkEnd w:id="1"/>
      <w:r>
        <w:rPr>
          <w:rFonts w:hint="eastAsia" w:cs="Times New Roman"/>
          <w:b/>
          <w:lang w:val="en-US" w:eastAsia="zh-CN"/>
        </w:rPr>
        <w:t>关于</w:t>
      </w:r>
      <w:r>
        <w:rPr>
          <w:rFonts w:hint="eastAsia" w:cs="Times New Roman"/>
          <w:b/>
          <w:lang w:eastAsia="zh-CN"/>
        </w:rPr>
        <w:t>2023</w:t>
      </w:r>
      <w:r>
        <w:rPr>
          <w:rFonts w:hint="eastAsia" w:cs="Times New Roman"/>
          <w:b/>
          <w:lang w:val="en-US" w:eastAsia="zh-CN"/>
        </w:rPr>
        <w:t>年度</w:t>
      </w:r>
      <w:r>
        <w:rPr>
          <w:rFonts w:cs="Times New Roman"/>
          <w:b/>
        </w:rPr>
        <w:t>法治政府建设</w:t>
      </w:r>
      <w:bookmarkEnd w:id="0"/>
      <w:r>
        <w:rPr>
          <w:rFonts w:hint="eastAsia" w:cs="Times New Roman"/>
          <w:b/>
          <w:lang w:val="en-US" w:eastAsia="zh-CN"/>
        </w:rPr>
        <w:t>情况的报告</w:t>
      </w:r>
    </w:p>
    <w:p>
      <w:pPr>
        <w:rPr>
          <w:rFonts w:hint="default"/>
          <w:lang w:val="en-US" w:eastAsia="zh-CN"/>
        </w:rPr>
      </w:pPr>
    </w:p>
    <w:p>
      <w:pPr>
        <w:pStyle w:val="6"/>
        <w:jc w:val="left"/>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中共沈丘县委、沈丘县人民政府：</w:t>
      </w:r>
    </w:p>
    <w:p>
      <w:pPr>
        <w:ind w:firstLine="640"/>
      </w:pPr>
      <w:r>
        <w:rPr>
          <w:rFonts w:hint="eastAsia"/>
        </w:rPr>
        <w:t>202</w:t>
      </w:r>
      <w:r>
        <w:rPr>
          <w:rFonts w:hint="eastAsia"/>
          <w:lang w:val="en-US" w:eastAsia="zh-CN"/>
        </w:rPr>
        <w:t>3</w:t>
      </w:r>
      <w:r>
        <w:rPr>
          <w:rFonts w:hint="eastAsia"/>
        </w:rPr>
        <w:t>年，我</w:t>
      </w:r>
      <w:r>
        <w:rPr>
          <w:rFonts w:hint="eastAsia"/>
          <w:lang w:val="en-US" w:eastAsia="zh-CN"/>
        </w:rPr>
        <w:t>镇</w:t>
      </w:r>
      <w:r>
        <w:rPr>
          <w:rFonts w:hint="eastAsia"/>
        </w:rPr>
        <w:t>全面贯彻落实党的</w:t>
      </w:r>
      <w:r>
        <w:rPr>
          <w:rFonts w:hint="eastAsia"/>
          <w:lang w:val="en-US" w:eastAsia="zh-CN"/>
        </w:rPr>
        <w:t>二十</w:t>
      </w:r>
      <w:r>
        <w:rPr>
          <w:rFonts w:hint="eastAsia"/>
        </w:rPr>
        <w:t>大精神，深入学习习近平新时代中国特色社会主义思想，紧紧围绕建设中国特色社会主义法治体系、建设社会主义法治国家的全面依法治国总目标，认真落实省、市、</w:t>
      </w:r>
      <w:r>
        <w:rPr>
          <w:rFonts w:hint="eastAsia"/>
          <w:lang w:val="en-US" w:eastAsia="zh-CN"/>
        </w:rPr>
        <w:t>县</w:t>
      </w:r>
      <w:r>
        <w:rPr>
          <w:rFonts w:hint="eastAsia"/>
        </w:rPr>
        <w:t>的决策部署，坚持依法全面履行政府职能，扎实推进法治政府建设各项工作，</w:t>
      </w:r>
      <w:r>
        <w:t>现将法治政府建设情况汇报如下：</w:t>
      </w:r>
    </w:p>
    <w:p>
      <w:pPr>
        <w:ind w:firstLine="643"/>
        <w:rPr>
          <w:rFonts w:eastAsia="黑体"/>
          <w:b/>
        </w:rPr>
      </w:pPr>
      <w:r>
        <w:rPr>
          <w:rFonts w:hint="eastAsia" w:eastAsia="黑体"/>
          <w:b/>
          <w:lang w:val="en-US" w:eastAsia="zh-CN"/>
        </w:rPr>
        <w:t>一</w:t>
      </w:r>
      <w:r>
        <w:rPr>
          <w:rFonts w:eastAsia="黑体"/>
          <w:b/>
        </w:rPr>
        <w:t>、落实党政主要负责人履行推进法治建设第一责任人职责，将法治建设摆在突出位置</w:t>
      </w:r>
    </w:p>
    <w:p>
      <w:pPr>
        <w:ind w:firstLine="640"/>
        <w:rPr>
          <w:highlight w:val="none"/>
        </w:rPr>
      </w:pPr>
      <w:r>
        <w:rPr>
          <w:highlight w:val="none"/>
        </w:rPr>
        <w:t>镇党委、政府高度重视法治政府建设，专门成立了由党委书记担任组长的</w:t>
      </w:r>
      <w:r>
        <w:rPr>
          <w:rFonts w:hint="eastAsia"/>
          <w:highlight w:val="none"/>
          <w:lang w:eastAsia="zh-CN"/>
        </w:rPr>
        <w:t>老城</w:t>
      </w:r>
      <w:r>
        <w:rPr>
          <w:highlight w:val="none"/>
        </w:rPr>
        <w:t>镇法治建设工作领导小组。党委书记作为</w:t>
      </w:r>
      <w:r>
        <w:rPr>
          <w:rFonts w:hint="eastAsia"/>
          <w:highlight w:val="none"/>
          <w:lang w:eastAsia="zh-CN"/>
        </w:rPr>
        <w:t>老城</w:t>
      </w:r>
      <w:r>
        <w:rPr>
          <w:highlight w:val="none"/>
        </w:rPr>
        <w:t>镇法治政府建设第一责任人，多次通过班子会议和干部职工大会学习、部署法治建设工作</w:t>
      </w:r>
      <w:r>
        <w:rPr>
          <w:rFonts w:hint="eastAsia"/>
          <w:highlight w:val="none"/>
          <w:lang w:eastAsia="zh-CN"/>
        </w:rPr>
        <w:t>。</w:t>
      </w:r>
      <w:r>
        <w:rPr>
          <w:rFonts w:hint="eastAsia"/>
          <w:highlight w:val="none"/>
          <w:lang w:val="en-US" w:eastAsia="zh-CN"/>
        </w:rPr>
        <w:t>一是</w:t>
      </w:r>
      <w:r>
        <w:rPr>
          <w:rFonts w:hint="eastAsia"/>
          <w:highlight w:val="none"/>
          <w:lang w:eastAsia="zh-CN"/>
        </w:rPr>
        <w:t>老城</w:t>
      </w:r>
      <w:r>
        <w:rPr>
          <w:highlight w:val="none"/>
        </w:rPr>
        <w:t>镇</w:t>
      </w:r>
      <w:r>
        <w:rPr>
          <w:rFonts w:hint="eastAsia"/>
          <w:highlight w:val="none"/>
          <w:lang w:val="en-US" w:eastAsia="zh-CN"/>
        </w:rPr>
        <w:t>通过</w:t>
      </w:r>
      <w:r>
        <w:rPr>
          <w:highlight w:val="none"/>
        </w:rPr>
        <w:t>召开全镇干部职工大会部署“八五”普法工作，</w:t>
      </w:r>
      <w:r>
        <w:rPr>
          <w:rFonts w:hint="eastAsia"/>
          <w:highlight w:val="none"/>
          <w:lang w:val="en-US" w:eastAsia="zh-CN"/>
        </w:rPr>
        <w:t>要求</w:t>
      </w:r>
      <w:r>
        <w:rPr>
          <w:highlight w:val="none"/>
        </w:rPr>
        <w:t>党政班子成员、全体干部职工树立法治意识，认真谋划“八五”普法，进一步健全法治宣传教育工作，以创新手段推进普法工作取得实效；</w:t>
      </w:r>
      <w:r>
        <w:rPr>
          <w:rFonts w:hint="eastAsia"/>
          <w:highlight w:val="none"/>
          <w:lang w:val="en-US" w:eastAsia="zh-CN"/>
        </w:rPr>
        <w:t>二是在</w:t>
      </w:r>
      <w:r>
        <w:rPr>
          <w:highlight w:val="none"/>
        </w:rPr>
        <w:t>班子会议</w:t>
      </w:r>
      <w:r>
        <w:rPr>
          <w:rFonts w:hint="eastAsia"/>
          <w:highlight w:val="none"/>
          <w:lang w:val="en-US" w:eastAsia="zh-CN"/>
        </w:rPr>
        <w:t>上研究</w:t>
      </w:r>
      <w:r>
        <w:rPr>
          <w:highlight w:val="none"/>
        </w:rPr>
        <w:t>部署</w:t>
      </w:r>
      <w:r>
        <w:rPr>
          <w:rFonts w:hint="eastAsia"/>
          <w:highlight w:val="none"/>
          <w:lang w:eastAsia="zh-CN"/>
        </w:rPr>
        <w:t>2023年老城</w:t>
      </w:r>
      <w:r>
        <w:rPr>
          <w:highlight w:val="none"/>
        </w:rPr>
        <w:t>镇行政执法权下放事宜，把法治政府建设纳入了本镇发展总体规划和年度工作计划，要求深刻认识执法权下放的紧迫性和重要性，积极与上级部门对接，善于运用法治思维处理日常事务，共同努力推进全镇法治政府建设。</w:t>
      </w:r>
    </w:p>
    <w:p>
      <w:pPr>
        <w:numPr>
          <w:ilvl w:val="0"/>
          <w:numId w:val="0"/>
        </w:numPr>
        <w:ind w:left="-3" w:leftChars="0" w:firstLine="643" w:firstLineChars="0"/>
        <w:rPr>
          <w:rFonts w:eastAsia="黑体"/>
          <w:b/>
        </w:rPr>
      </w:pPr>
      <w:r>
        <w:rPr>
          <w:rFonts w:hint="eastAsia" w:eastAsia="黑体" w:cs="Times New Roman"/>
          <w:b/>
          <w:kern w:val="2"/>
          <w:sz w:val="32"/>
          <w:szCs w:val="24"/>
          <w:lang w:val="en-US" w:eastAsia="zh-CN" w:bidi="ar-SA"/>
        </w:rPr>
        <w:t>二</w:t>
      </w:r>
      <w:r>
        <w:rPr>
          <w:rFonts w:hint="eastAsia" w:ascii="Times New Roman" w:hAnsi="Times New Roman" w:eastAsia="黑体" w:cs="Times New Roman"/>
          <w:b/>
          <w:kern w:val="2"/>
          <w:sz w:val="32"/>
          <w:szCs w:val="24"/>
          <w:lang w:val="en-US" w:eastAsia="zh-CN" w:bidi="ar-SA"/>
        </w:rPr>
        <w:t>、</w:t>
      </w:r>
      <w:r>
        <w:rPr>
          <w:rFonts w:eastAsia="黑体"/>
          <w:b/>
        </w:rPr>
        <w:t>推进法治政府建设工作的主要措施和成效</w:t>
      </w:r>
    </w:p>
    <w:p>
      <w:pPr>
        <w:numPr>
          <w:ilvl w:val="0"/>
          <w:numId w:val="0"/>
        </w:numPr>
        <w:tabs>
          <w:tab w:val="left" w:pos="420"/>
        </w:tabs>
        <w:ind w:left="0" w:leftChars="0" w:firstLine="632" w:firstLineChars="200"/>
        <w:outlineLvl w:val="1"/>
      </w:pPr>
      <w:r>
        <w:rPr>
          <w:rFonts w:hint="eastAsia" w:ascii="楷体" w:hAnsi="楷体" w:eastAsia="楷体" w:cs="楷体"/>
          <w:sz w:val="32"/>
          <w:lang w:val="en-US" w:eastAsia="zh-CN"/>
        </w:rPr>
        <w:t>（一）</w:t>
      </w:r>
      <w:r>
        <w:rPr>
          <w:rFonts w:hint="eastAsia" w:ascii="楷体" w:hAnsi="楷体" w:eastAsia="楷体" w:cs="楷体"/>
          <w:sz w:val="32"/>
        </w:rPr>
        <w:t> 学习贯彻习近平法治思想和</w:t>
      </w:r>
      <w:r>
        <w:rPr>
          <w:rFonts w:hint="eastAsia" w:ascii="楷体" w:hAnsi="楷体" w:eastAsia="楷体" w:cs="楷体"/>
          <w:sz w:val="32"/>
          <w:lang w:val="en-US" w:eastAsia="zh-CN"/>
        </w:rPr>
        <w:t>党的二十大内容。</w:t>
      </w:r>
      <w:r>
        <w:rPr>
          <w:rFonts w:hint="eastAsia"/>
          <w:lang w:eastAsia="zh-CN"/>
        </w:rPr>
        <w:t>老城</w:t>
      </w:r>
      <w:r>
        <w:t>镇党委、政府历来十分重视法治建设，在党委理论中心组学习时特别强调要将习近平法治思想和中央依法治国工作会议精神作为学习重点。全体班子成员自觉贯彻落实习近平法治思想，深</w:t>
      </w:r>
      <w:r>
        <w:rPr>
          <w:highlight w:val="none"/>
        </w:rPr>
        <w:t>入学习领会习近平总书记在</w:t>
      </w:r>
      <w:r>
        <w:rPr>
          <w:rFonts w:hint="eastAsia"/>
          <w:highlight w:val="none"/>
        </w:rPr>
        <w:t>党的二十大报告中</w:t>
      </w:r>
      <w:r>
        <w:rPr>
          <w:rFonts w:hint="eastAsia"/>
          <w:highlight w:val="none"/>
          <w:lang w:val="en-US" w:eastAsia="zh-CN"/>
        </w:rPr>
        <w:t>提出的</w:t>
      </w:r>
      <w:r>
        <w:rPr>
          <w:rFonts w:hint="eastAsia"/>
          <w:highlight w:val="none"/>
        </w:rPr>
        <w:t>保障和促进社会公平正义，坚持依法治国、依法执政、依法行政共同推进，坚持法治国家、法治政府、法治社会一体建设</w:t>
      </w:r>
      <w:r>
        <w:rPr>
          <w:highlight w:val="none"/>
        </w:rPr>
        <w:t>，</w:t>
      </w:r>
      <w:r>
        <w:rPr>
          <w:rFonts w:hint="eastAsia"/>
          <w:highlight w:val="none"/>
        </w:rPr>
        <w:t>全面推进科学立法、严格执法、公正司法、全面守法，全面推进国家各方面工作法治化等</w:t>
      </w:r>
      <w:r>
        <w:rPr>
          <w:rFonts w:hint="eastAsia"/>
          <w:highlight w:val="none"/>
          <w:lang w:val="en-US" w:eastAsia="zh-CN"/>
        </w:rPr>
        <w:t>内容</w:t>
      </w:r>
      <w:r>
        <w:rPr>
          <w:highlight w:val="none"/>
        </w:rPr>
        <w:t>，切实把习近平法治思想贯彻落实到全面依法治镇全过程，模范带头遵守法律、敬畏法律，不断提高运用法治思维和法治方式深化改革、推动发展、化解矛盾、维护稳定、应对风险的能力，做尊法学法守法用法的模范。</w:t>
      </w:r>
    </w:p>
    <w:p>
      <w:pPr>
        <w:numPr>
          <w:ilvl w:val="0"/>
          <w:numId w:val="0"/>
        </w:numPr>
        <w:tabs>
          <w:tab w:val="left" w:pos="420"/>
        </w:tabs>
        <w:ind w:left="0" w:leftChars="0" w:firstLine="632" w:firstLineChars="200"/>
        <w:outlineLvl w:val="9"/>
        <w:rPr>
          <w:rFonts w:hint="eastAsia" w:ascii="仿宋" w:hAnsi="仿宋" w:cs="仿宋"/>
          <w:sz w:val="32"/>
          <w:lang w:val="en-US" w:eastAsia="zh-CN"/>
        </w:rPr>
      </w:pPr>
      <w:r>
        <w:rPr>
          <w:rFonts w:hint="eastAsia" w:ascii="楷体" w:hAnsi="楷体" w:eastAsia="楷体" w:cs="楷体"/>
          <w:sz w:val="32"/>
          <w:lang w:val="en-US" w:eastAsia="zh-CN"/>
        </w:rPr>
        <w:t>（二）完善政府机构职能体系，以更好地发挥政府作用。</w:t>
      </w:r>
      <w:r>
        <w:rPr>
          <w:rFonts w:hint="eastAsia" w:ascii="仿宋" w:hAnsi="仿宋" w:cs="仿宋"/>
          <w:sz w:val="32"/>
          <w:lang w:val="en-US" w:eastAsia="zh-CN"/>
        </w:rPr>
        <w:t>一是进一步明确政府各部门的职责关系，优化职能配置和工作流程。二是持续推进政府职能转变，提高行政管理效能，依法履行政府经济调节、市场监管、社会管理、公共服务、生态环境保护等职能，理清政府与市场、政府与社会的关系。</w:t>
      </w:r>
    </w:p>
    <w:p>
      <w:pPr>
        <w:numPr>
          <w:ilvl w:val="0"/>
          <w:numId w:val="0"/>
        </w:numPr>
        <w:tabs>
          <w:tab w:val="left" w:pos="420"/>
        </w:tabs>
        <w:ind w:left="0" w:leftChars="0" w:firstLine="632" w:firstLineChars="200"/>
        <w:outlineLvl w:val="9"/>
        <w:rPr>
          <w:rFonts w:hint="eastAsia" w:ascii="仿宋" w:hAnsi="仿宋" w:cs="仿宋"/>
          <w:sz w:val="32"/>
          <w:lang w:val="en-US" w:eastAsia="zh-CN"/>
        </w:rPr>
      </w:pPr>
      <w:r>
        <w:rPr>
          <w:rFonts w:hint="eastAsia" w:ascii="楷体" w:hAnsi="楷体" w:eastAsia="楷体" w:cs="楷体"/>
          <w:sz w:val="32"/>
          <w:lang w:val="en-US" w:eastAsia="zh-CN"/>
        </w:rPr>
        <w:t>（三）健全依法行政制度体系，加快推进政府治理规范化、程序化、法治化。</w:t>
      </w:r>
      <w:r>
        <w:rPr>
          <w:rFonts w:hint="eastAsia" w:ascii="仿宋" w:hAnsi="仿宋" w:cs="仿宋"/>
          <w:sz w:val="32"/>
          <w:lang w:val="en-US" w:eastAsia="zh-CN"/>
        </w:rPr>
        <w:t>一是严格遵守“有备必审、有错必纠”的原则，明确专人专门负责文件审核工作，对发现未依照法定程序制发和存在违法问题的行政规范性文件，及时进行修改。</w:t>
      </w:r>
    </w:p>
    <w:p>
      <w:pPr>
        <w:numPr>
          <w:ilvl w:val="0"/>
          <w:numId w:val="0"/>
        </w:numPr>
        <w:tabs>
          <w:tab w:val="left" w:pos="420"/>
        </w:tabs>
        <w:ind w:left="0" w:leftChars="0" w:firstLine="632" w:firstLineChars="200"/>
        <w:outlineLvl w:val="9"/>
        <w:rPr>
          <w:rFonts w:hint="eastAsia" w:ascii="楷体" w:hAnsi="楷体" w:eastAsia="楷体" w:cs="楷体"/>
          <w:sz w:val="32"/>
          <w:lang w:val="en-US" w:eastAsia="zh-CN"/>
        </w:rPr>
      </w:pPr>
      <w:r>
        <w:rPr>
          <w:rFonts w:hint="eastAsia" w:ascii="楷体" w:hAnsi="楷体" w:eastAsia="楷体" w:cs="楷体"/>
          <w:sz w:val="32"/>
          <w:lang w:val="en-US" w:eastAsia="zh-CN"/>
        </w:rPr>
        <w:t>（四）健全突发事件应对体系，依法预防和处置重大突发事件。</w:t>
      </w:r>
      <w:r>
        <w:rPr>
          <w:rFonts w:hint="eastAsia" w:ascii="仿宋" w:hAnsi="仿宋" w:cs="仿宋"/>
          <w:sz w:val="32"/>
          <w:lang w:val="en-US" w:eastAsia="zh-CN"/>
        </w:rPr>
        <w:t>根据国家突发事件总体应急预案制定以及专项应急预案修订情况，及时修订2023年老城镇突发事件总体和专项应急预案，完善覆盖各级、各部门、各行业的突发事件应急预案体系。同时，督促43个行政村、居委会同步制定应急预案，提高突发事件应对的法治化、规范化水平。</w:t>
      </w:r>
    </w:p>
    <w:p>
      <w:pPr>
        <w:numPr>
          <w:ilvl w:val="0"/>
          <w:numId w:val="0"/>
        </w:numPr>
        <w:tabs>
          <w:tab w:val="left" w:pos="420"/>
        </w:tabs>
        <w:ind w:left="0" w:leftChars="0" w:firstLine="632" w:firstLineChars="200"/>
        <w:outlineLvl w:val="1"/>
      </w:pPr>
      <w:r>
        <w:rPr>
          <w:rFonts w:hint="eastAsia" w:ascii="楷体" w:hAnsi="楷体" w:eastAsia="楷体" w:cs="楷体"/>
          <w:sz w:val="32"/>
          <w:lang w:val="en-US" w:eastAsia="zh-CN"/>
        </w:rPr>
        <w:t>（五）坚持严格规范公正文明执法。</w:t>
      </w:r>
      <w:r>
        <w:rPr>
          <w:rFonts w:hint="eastAsia"/>
          <w:lang w:eastAsia="zh-CN"/>
        </w:rPr>
        <w:t>老城</w:t>
      </w:r>
      <w:r>
        <w:t>镇根据上级文件中关于机构改革的工作要求部署，设立了综合行政执法</w:t>
      </w:r>
      <w:r>
        <w:rPr>
          <w:rFonts w:hint="eastAsia"/>
          <w:lang w:val="en-US" w:eastAsia="zh-CN"/>
        </w:rPr>
        <w:t>大队</w:t>
      </w:r>
      <w:r>
        <w:t>，设</w:t>
      </w:r>
      <w:r>
        <w:rPr>
          <w:rFonts w:hint="eastAsia"/>
          <w:lang w:val="en-US" w:eastAsia="zh-CN"/>
        </w:rPr>
        <w:t>队长</w:t>
      </w:r>
      <w:r>
        <w:t>一名，统筹协调全镇的行政执法工作。一是积极承接下放的行政执法权限，组织执法人员及时学习，对照权限清单认真开展执法工作。</w:t>
      </w:r>
      <w:r>
        <w:rPr>
          <w:rFonts w:hint="eastAsia"/>
          <w:highlight w:val="none"/>
          <w:lang w:val="en-US" w:eastAsia="zh-CN"/>
        </w:rPr>
        <w:t>二</w:t>
      </w:r>
      <w:r>
        <w:rPr>
          <w:highlight w:val="none"/>
        </w:rPr>
        <w:t>是强化行政执法队伍管理。严格落实执法人员考试、发证、持证上岗制度。坚持“执法必持证、持证必培训、培训必考试”，积极组织执法人员参与区、街道组织的各类执法人员培训、学习、考试。目前我</w:t>
      </w:r>
      <w:r>
        <w:rPr>
          <w:rFonts w:hint="eastAsia"/>
          <w:highlight w:val="none"/>
          <w:lang w:val="en-US" w:eastAsia="zh-CN"/>
        </w:rPr>
        <w:t>镇</w:t>
      </w:r>
      <w:r>
        <w:rPr>
          <w:highlight w:val="none"/>
        </w:rPr>
        <w:t>通过考试申领执法证</w:t>
      </w:r>
      <w:r>
        <w:rPr>
          <w:rFonts w:hint="eastAsia"/>
          <w:highlight w:val="none"/>
          <w:lang w:val="en-US" w:eastAsia="zh-CN"/>
        </w:rPr>
        <w:t>19</w:t>
      </w:r>
      <w:r>
        <w:rPr>
          <w:highlight w:val="none"/>
        </w:rPr>
        <w:t>人</w:t>
      </w:r>
      <w:r>
        <w:rPr>
          <w:rFonts w:hint="eastAsia"/>
          <w:highlight w:val="none"/>
          <w:lang w:eastAsia="zh-CN"/>
        </w:rPr>
        <w:t>，</w:t>
      </w:r>
      <w:r>
        <w:rPr>
          <w:rFonts w:hint="eastAsia"/>
          <w:highlight w:val="none"/>
          <w:lang w:val="en-US" w:eastAsia="zh-CN"/>
        </w:rPr>
        <w:t>其中7</w:t>
      </w:r>
      <w:r>
        <w:rPr>
          <w:highlight w:val="none"/>
        </w:rPr>
        <w:t>名科级以上公务员持执法证</w:t>
      </w:r>
      <w:r>
        <w:rPr>
          <w:rFonts w:hint="eastAsia"/>
          <w:highlight w:val="none"/>
          <w:lang w:eastAsia="zh-CN"/>
        </w:rPr>
        <w:t>，</w:t>
      </w:r>
      <w:r>
        <w:rPr>
          <w:highlight w:val="none"/>
        </w:rPr>
        <w:t>持证率较去年进一步提高。今年11月，</w:t>
      </w:r>
      <w:r>
        <w:rPr>
          <w:rFonts w:hint="eastAsia"/>
          <w:highlight w:val="none"/>
          <w:lang w:val="en-US" w:eastAsia="zh-CN"/>
        </w:rPr>
        <w:t>我镇</w:t>
      </w:r>
      <w:r>
        <w:rPr>
          <w:highlight w:val="none"/>
        </w:rPr>
        <w:t>正科级及以下公务员和职员共有</w:t>
      </w:r>
      <w:r>
        <w:rPr>
          <w:rFonts w:hint="eastAsia"/>
          <w:highlight w:val="none"/>
          <w:lang w:val="en-US" w:eastAsia="zh-CN"/>
        </w:rPr>
        <w:t>18</w:t>
      </w:r>
      <w:r>
        <w:rPr>
          <w:highlight w:val="none"/>
        </w:rPr>
        <w:t>人参加202</w:t>
      </w:r>
      <w:r>
        <w:rPr>
          <w:rFonts w:hint="eastAsia"/>
          <w:highlight w:val="none"/>
          <w:lang w:val="en-US" w:eastAsia="zh-CN"/>
        </w:rPr>
        <w:t>3</w:t>
      </w:r>
      <w:r>
        <w:rPr>
          <w:highlight w:val="none"/>
        </w:rPr>
        <w:t>年度执法</w:t>
      </w:r>
      <w:r>
        <w:rPr>
          <w:rFonts w:hint="eastAsia"/>
          <w:highlight w:val="none"/>
          <w:lang w:val="en-US" w:eastAsia="zh-CN"/>
        </w:rPr>
        <w:t>证年审考试</w:t>
      </w:r>
      <w:r>
        <w:rPr>
          <w:highlight w:val="none"/>
        </w:rPr>
        <w:t>，全部通过考试</w:t>
      </w:r>
      <w:r>
        <w:rPr>
          <w:rFonts w:hint="eastAsia"/>
          <w:highlight w:val="none"/>
          <w:lang w:eastAsia="zh-CN"/>
        </w:rPr>
        <w:t>。</w:t>
      </w:r>
      <w:r>
        <w:t>三是严格执法，依法惩处各类违法行为，对辖区内发现的违法线索及时跟踪调查，坚持以事实为依据，以法律为准绳原则，严厉打击，确保有法必依，执法必严，违法必究。四是坚持民主集中制，涉及处罚类行政执法案件，依法应当集体讨论决定的，经领导集体讨论后作出决定。五是落实行政执法“三项制度”。要求从事行政执法工作的执法人员在进行行政执法过程中做到行政执法全程录音、录像，每个行政执法案件及时公示，重大行政执法案件须经法制审核合法后方能实施。</w:t>
      </w:r>
    </w:p>
    <w:p>
      <w:pPr>
        <w:numPr>
          <w:ilvl w:val="0"/>
          <w:numId w:val="0"/>
        </w:numPr>
        <w:tabs>
          <w:tab w:val="left" w:pos="420"/>
        </w:tabs>
        <w:ind w:left="0" w:leftChars="0" w:firstLine="632" w:firstLineChars="200"/>
        <w:outlineLvl w:val="1"/>
      </w:pPr>
      <w:r>
        <w:rPr>
          <w:rFonts w:hint="eastAsia" w:ascii="楷体" w:hAnsi="楷体" w:eastAsia="楷体" w:cs="楷体"/>
          <w:sz w:val="32"/>
          <w:lang w:val="en-US" w:eastAsia="zh-CN"/>
        </w:rPr>
        <w:t>（六）全面提高法治思维和依法行政能力。</w:t>
      </w:r>
      <w:r>
        <w:t>为进一步做好新时期法治政府建设工作，打造政治强、作风硬、业务精的法治工作队伍，</w:t>
      </w:r>
      <w:r>
        <w:rPr>
          <w:rFonts w:hint="eastAsia"/>
          <w:lang w:eastAsia="zh-CN"/>
        </w:rPr>
        <w:t>老城</w:t>
      </w:r>
      <w:r>
        <w:t>镇高度重视干部职工的法治素养和法治能力培养，加强对政府工作人员的法治教育，组织开展学法考试、网络学习等，强化干部的法治观念、依法办事能力。一是开展领导干部法治宣传教育会，开展习近平法治思想专题培训，组织镇、村干部职工集中学习《民法典</w:t>
      </w:r>
      <w:r>
        <w:rPr>
          <w:rFonts w:hint="eastAsia"/>
          <w:lang w:eastAsia="zh-CN"/>
        </w:rPr>
        <w:t>》《</w:t>
      </w:r>
      <w:r>
        <w:t>国家安全法</w:t>
      </w:r>
      <w:r>
        <w:rPr>
          <w:rFonts w:hint="eastAsia"/>
          <w:lang w:eastAsia="zh-CN"/>
        </w:rPr>
        <w:t>》《</w:t>
      </w:r>
      <w:r>
        <w:t>宪法》等法律法规，提高了镇、村干部职工的法律知识水平和依法处理涉农纠纷能力，领导干部法治化水平和运用法治治政理政能力得到提升。二是加强群众普法宣传教育。在中小学，面向师生开展送法进校园活动，主要有“4.15全民国家安全教育日”法治宣传、“</w:t>
      </w:r>
      <w:r>
        <w:rPr>
          <w:rFonts w:hint="eastAsia"/>
          <w:lang w:val="en-US" w:eastAsia="zh-CN"/>
        </w:rPr>
        <w:t>12.5国家宪法日</w:t>
      </w:r>
      <w:r>
        <w:t>”法治宣传。在村（社区），开展送法下乡活动，主要宣传了《民法典</w:t>
      </w:r>
      <w:r>
        <w:rPr>
          <w:rFonts w:hint="eastAsia"/>
          <w:lang w:eastAsia="zh-CN"/>
        </w:rPr>
        <w:t>》《</w:t>
      </w:r>
      <w:r>
        <w:t>村民委员会组织法</w:t>
      </w:r>
      <w:r>
        <w:rPr>
          <w:rFonts w:hint="eastAsia"/>
          <w:lang w:eastAsia="zh-CN"/>
        </w:rPr>
        <w:t>》《</w:t>
      </w:r>
      <w:r>
        <w:t>农村土地承包法</w:t>
      </w:r>
      <w:r>
        <w:rPr>
          <w:rFonts w:hint="eastAsia"/>
          <w:lang w:eastAsia="zh-CN"/>
        </w:rPr>
        <w:t>》《</w:t>
      </w:r>
      <w:r>
        <w:t>土地管理法》等法律法规。活动期间，共开展普法宣传活动</w:t>
      </w:r>
      <w:r>
        <w:rPr>
          <w:rFonts w:hint="eastAsia"/>
          <w:lang w:val="en-US" w:eastAsia="zh-CN"/>
        </w:rPr>
        <w:t>10余次</w:t>
      </w:r>
      <w:r>
        <w:t>，派发宣传资料手册</w:t>
      </w:r>
      <w:r>
        <w:rPr>
          <w:rFonts w:hint="eastAsia"/>
          <w:lang w:val="en-US" w:eastAsia="zh-CN"/>
        </w:rPr>
        <w:t>300</w:t>
      </w:r>
      <w:r>
        <w:t>余份，受教育群众</w:t>
      </w:r>
      <w:r>
        <w:rPr>
          <w:rFonts w:hint="eastAsia"/>
          <w:lang w:val="en-US" w:eastAsia="zh-CN"/>
        </w:rPr>
        <w:t>20</w:t>
      </w:r>
      <w:r>
        <w:t>00余人次通过上述普法宣传教育活动，</w:t>
      </w:r>
      <w:r>
        <w:rPr>
          <w:rFonts w:hint="eastAsia"/>
          <w:lang w:val="en-US" w:eastAsia="zh-CN"/>
        </w:rPr>
        <w:t>三是</w:t>
      </w:r>
      <w:r>
        <w:t>精心打造</w:t>
      </w:r>
      <w:r>
        <w:rPr>
          <w:rFonts w:hint="eastAsia"/>
        </w:rPr>
        <w:t>西关全国民主法治示范村</w:t>
      </w:r>
      <w:r>
        <w:t>。在</w:t>
      </w:r>
      <w:r>
        <w:rPr>
          <w:rFonts w:hint="eastAsia"/>
        </w:rPr>
        <w:t>西关</w:t>
      </w:r>
      <w:r>
        <w:rPr>
          <w:rFonts w:hint="eastAsia"/>
          <w:lang w:val="en-US" w:eastAsia="zh-CN"/>
        </w:rPr>
        <w:t>文化</w:t>
      </w:r>
      <w:r>
        <w:t>广场打造了以</w:t>
      </w:r>
      <w:r>
        <w:rPr>
          <w:rFonts w:hint="eastAsia"/>
          <w:lang w:val="en-US" w:eastAsia="zh-CN"/>
        </w:rPr>
        <w:t>民主法治</w:t>
      </w:r>
      <w:r>
        <w:t>内容为主的特色法治文化宣传</w:t>
      </w:r>
      <w:r>
        <w:rPr>
          <w:rFonts w:hint="eastAsia"/>
          <w:lang w:val="en-US" w:eastAsia="zh-CN"/>
        </w:rPr>
        <w:t>广场</w:t>
      </w:r>
      <w:r>
        <w:t>，为群众营造良好的法治文化环境。使得全镇人民法治水平得到进一步提升，为建设法治政府提供坚实的群众化法治基础。</w:t>
      </w:r>
    </w:p>
    <w:p>
      <w:pPr>
        <w:numPr>
          <w:ilvl w:val="0"/>
          <w:numId w:val="0"/>
        </w:numPr>
        <w:tabs>
          <w:tab w:val="left" w:pos="420"/>
        </w:tabs>
        <w:ind w:left="0" w:leftChars="0" w:firstLine="632" w:firstLineChars="200"/>
        <w:outlineLvl w:val="1"/>
      </w:pPr>
      <w:r>
        <w:rPr>
          <w:rFonts w:hint="eastAsia" w:ascii="楷体" w:hAnsi="楷体" w:eastAsia="楷体" w:cs="楷体"/>
          <w:sz w:val="32"/>
          <w:lang w:val="en-US" w:eastAsia="zh-CN"/>
        </w:rPr>
        <w:t>（七）提高依法行政水平，加强法治教育培训。</w:t>
      </w:r>
      <w:r>
        <w:t>一是着力健全行政执法监督。建立健全行政执法投诉举报，在执法单位显著位置放置投诉信箱，通过信访大厅、群众诉求服务站、12345热线等渠道受理投诉</w:t>
      </w:r>
      <w:r>
        <w:rPr>
          <w:rFonts w:hint="eastAsia"/>
          <w:lang w:eastAsia="zh-CN"/>
        </w:rPr>
        <w:t>，</w:t>
      </w:r>
      <w:r>
        <w:t>及时反馈处理各类投诉事项，确保行政执法投诉和监督渠道畅通。202</w:t>
      </w:r>
      <w:r>
        <w:rPr>
          <w:rFonts w:hint="eastAsia"/>
          <w:lang w:val="en-US" w:eastAsia="zh-CN"/>
        </w:rPr>
        <w:t>3</w:t>
      </w:r>
      <w:r>
        <w:t>年共处理</w:t>
      </w:r>
      <w:r>
        <w:rPr>
          <w:rFonts w:hint="eastAsia"/>
          <w:lang w:val="en-US" w:eastAsia="zh-CN"/>
        </w:rPr>
        <w:t>700余</w:t>
      </w:r>
      <w:r>
        <w:t>宗投诉（内容涉及投诉违建行为、投诉行政执法行为等），并按相关规定及时处理并答复群众，有效推进行政权力公开透明运行。二是注重干部职工法治教育，坚持学法常态化。加强干部职工日常法治教育，组织干部职工参加法治专题培训，认真学习法律法规及规章制度。三是积极落实学法考试常态化。202</w:t>
      </w:r>
      <w:r>
        <w:rPr>
          <w:rFonts w:hint="eastAsia"/>
          <w:lang w:val="en-US" w:eastAsia="zh-CN"/>
        </w:rPr>
        <w:t>3</w:t>
      </w:r>
      <w:r>
        <w:t>年，街道在编公务员均全部参加2021年度学法考试，参考率达100%，优秀率达100%，领导干部、公职人员的法治思维和依法行政能力得到进一步提高。</w:t>
      </w:r>
    </w:p>
    <w:p>
      <w:pPr>
        <w:ind w:firstLine="643"/>
        <w:outlineLvl w:val="9"/>
        <w:rPr>
          <w:rFonts w:hint="eastAsia" w:ascii="仿宋" w:hAnsi="仿宋" w:eastAsia="仿宋" w:cs="仿宋"/>
          <w:sz w:val="32"/>
          <w:lang w:val="en-US" w:eastAsia="zh-CN"/>
        </w:rPr>
      </w:pPr>
      <w:r>
        <w:rPr>
          <w:rFonts w:hint="eastAsia" w:ascii="楷体" w:hAnsi="楷体" w:eastAsia="楷体" w:cs="楷体"/>
          <w:sz w:val="32"/>
          <w:lang w:val="en-US" w:eastAsia="zh-CN"/>
        </w:rPr>
        <w:t xml:space="preserve">  （八）持续优化法治化营商环境。</w:t>
      </w:r>
      <w:r>
        <w:rPr>
          <w:rFonts w:hint="eastAsia" w:ascii="仿宋" w:hAnsi="仿宋" w:eastAsia="仿宋" w:cs="仿宋"/>
          <w:sz w:val="32"/>
          <w:lang w:val="en-US" w:eastAsia="zh-CN"/>
        </w:rPr>
        <w:t>老城镇深刻认识到营商环境对经济发展的重要性，紧紧围绕法治化营商环境的优化，深入推进简政放权、放管结合、优化服务改革。一是深化行政审批制度改革，减少审批环节，提高审批效率，降低市场准入门槛。二是规范行政执法行为，加强对市场主体的合法权益保护，防止执法扰企。三是落实优惠政策，支持企业发展，营造公平竞争的市场环境。四是加强法治宣传教育，提高企业法治意识，促进企业合规经营。</w:t>
      </w:r>
    </w:p>
    <w:p>
      <w:pPr>
        <w:ind w:firstLine="643"/>
        <w:outlineLvl w:val="9"/>
        <w:rPr>
          <w:rFonts w:eastAsia="黑体"/>
          <w:b/>
        </w:rPr>
      </w:pPr>
      <w:r>
        <w:rPr>
          <w:rFonts w:hint="eastAsia" w:eastAsia="黑体"/>
          <w:b/>
          <w:lang w:val="en-US" w:eastAsia="zh-CN"/>
        </w:rPr>
        <w:t>三</w:t>
      </w:r>
      <w:r>
        <w:rPr>
          <w:rFonts w:eastAsia="黑体"/>
          <w:b/>
        </w:rPr>
        <w:t>、存在不足</w:t>
      </w:r>
    </w:p>
    <w:p>
      <w:pPr>
        <w:ind w:firstLine="640"/>
      </w:pPr>
      <w:r>
        <w:rPr>
          <w:rFonts w:hint="eastAsia" w:ascii="楷体" w:hAnsi="楷体" w:eastAsia="楷体" w:cs="楷体"/>
          <w:sz w:val="32"/>
          <w:lang w:val="en-US" w:eastAsia="zh-CN"/>
        </w:rPr>
        <w:t>（一）干部职工法治素养和行政执法水平有待进一步提升。</w:t>
      </w:r>
      <w:r>
        <w:rPr>
          <w:rFonts w:hint="eastAsia"/>
        </w:rPr>
        <w:t>干部职工和行政执法人员运用法治思维和法治方式解决问题的能力有待进一步提高，执法人员素质和执法水平仍须进一步提升。</w:t>
      </w:r>
    </w:p>
    <w:p>
      <w:pPr>
        <w:ind w:firstLine="640"/>
        <w:rPr>
          <w:rFonts w:hint="eastAsia" w:eastAsia="仿宋"/>
          <w:lang w:eastAsia="zh-CN"/>
        </w:rPr>
      </w:pPr>
      <w:r>
        <w:rPr>
          <w:rFonts w:hint="eastAsia" w:ascii="楷体" w:hAnsi="楷体" w:eastAsia="楷体" w:cs="楷体"/>
          <w:sz w:val="32"/>
          <w:lang w:val="en-US" w:eastAsia="zh-CN"/>
        </w:rPr>
        <w:t>（二）执法人员运用法治思维和法治方式化解矛盾、维护稳定能力有待提高。</w:t>
      </w:r>
      <w:r>
        <w:t>对群众不合理不合法的诉求未能进行有效正确疏导，释法说理不强</w:t>
      </w:r>
      <w:r>
        <w:rPr>
          <w:rFonts w:hint="eastAsia"/>
          <w:lang w:eastAsia="zh-CN"/>
        </w:rPr>
        <w:t>。</w:t>
      </w:r>
    </w:p>
    <w:p>
      <w:pPr>
        <w:ind w:firstLine="640"/>
        <w:rPr>
          <w:rFonts w:hint="eastAsia" w:eastAsia="仿宋"/>
          <w:lang w:eastAsia="zh-CN"/>
        </w:rPr>
      </w:pPr>
      <w:r>
        <w:rPr>
          <w:rFonts w:hint="eastAsia" w:ascii="楷体" w:hAnsi="楷体" w:eastAsia="楷体" w:cs="楷体"/>
          <w:sz w:val="32"/>
          <w:lang w:val="en-US" w:eastAsia="zh-CN"/>
        </w:rPr>
        <w:t>（三）执行法律力度有待提高。</w:t>
      </w:r>
      <w:r>
        <w:t>个别</w:t>
      </w:r>
      <w:r>
        <w:rPr>
          <w:rFonts w:hint="eastAsia"/>
          <w:lang w:val="en-US" w:eastAsia="zh-CN"/>
        </w:rPr>
        <w:t>人员</w:t>
      </w:r>
      <w:r>
        <w:t>未能真正理解“法律的权威来自执行”，在执行法律过程中出现“考虑相关因素”，未能严格自身执法行为，使得法律执行力打折扣</w:t>
      </w:r>
      <w:r>
        <w:rPr>
          <w:rFonts w:hint="eastAsia"/>
          <w:lang w:eastAsia="zh-CN"/>
        </w:rPr>
        <w:t>。</w:t>
      </w:r>
    </w:p>
    <w:p>
      <w:pPr>
        <w:ind w:firstLine="643"/>
        <w:rPr>
          <w:rFonts w:eastAsia="黑体"/>
          <w:b/>
        </w:rPr>
      </w:pPr>
      <w:r>
        <w:rPr>
          <w:rFonts w:hint="eastAsia" w:eastAsia="黑体"/>
          <w:b/>
          <w:lang w:val="en-US" w:eastAsia="zh-CN"/>
        </w:rPr>
        <w:t>四</w:t>
      </w:r>
      <w:r>
        <w:rPr>
          <w:rFonts w:eastAsia="黑体"/>
          <w:b/>
        </w:rPr>
        <w:t>、202</w:t>
      </w:r>
      <w:r>
        <w:rPr>
          <w:rFonts w:hint="eastAsia" w:eastAsia="黑体"/>
          <w:b/>
          <w:lang w:val="en-US" w:eastAsia="zh-CN"/>
        </w:rPr>
        <w:t>4</w:t>
      </w:r>
      <w:r>
        <w:rPr>
          <w:rFonts w:eastAsia="黑体"/>
          <w:b/>
        </w:rPr>
        <w:t>年法治政府建设主要思路和计划</w:t>
      </w:r>
    </w:p>
    <w:p>
      <w:pPr>
        <w:ind w:firstLine="640"/>
      </w:pPr>
      <w:r>
        <w:rPr>
          <w:rFonts w:hint="eastAsia" w:ascii="楷体" w:hAnsi="楷体" w:eastAsia="楷体" w:cs="楷体"/>
          <w:sz w:val="32"/>
          <w:lang w:val="en-US" w:eastAsia="zh-CN"/>
        </w:rPr>
        <w:t>（一）树立依法行政和依法执政法治理念。</w:t>
      </w:r>
      <w:r>
        <w:t>一方面加大对公职人员法治教育力度，通过会前学法、集中学法、执法人员执法培训等形式进一步加大法治宣传，提高行政机关公职人员法律素质。另一方面是培养公职人员运用法治思维和法治方式处理问题的能力，组织本镇干部职工参加学法考试，考察其掌握基本法律知识的情况。</w:t>
      </w:r>
    </w:p>
    <w:p>
      <w:pPr>
        <w:ind w:firstLine="640"/>
      </w:pPr>
      <w:r>
        <w:rPr>
          <w:rFonts w:hint="eastAsia" w:ascii="楷体" w:hAnsi="楷体" w:eastAsia="楷体" w:cs="楷体"/>
          <w:sz w:val="32"/>
          <w:lang w:val="en-US" w:eastAsia="zh-CN"/>
        </w:rPr>
        <w:t>（二）加大执法力度，确保法律得到有效执行。</w:t>
      </w:r>
      <w:r>
        <w:t>一方面通过明确各部门权责范围，要求各部门严格依法办事，不得相互推诿。另一方面通过强化执法人员公正执法，提高抗干扰能力和水平，行政执法过程中只考虑涉及执法事项的相关因素，不得考虑不相关因素，做到一碗水端平。</w:t>
      </w:r>
    </w:p>
    <w:p>
      <w:pPr>
        <w:ind w:firstLine="640"/>
        <w:rPr>
          <w:rFonts w:hint="eastAsia"/>
          <w:lang w:eastAsia="zh-CN"/>
        </w:rPr>
      </w:pPr>
      <w:r>
        <w:rPr>
          <w:rFonts w:hint="eastAsia" w:ascii="楷体" w:hAnsi="楷体" w:eastAsia="楷体" w:cs="楷体"/>
          <w:sz w:val="32"/>
          <w:lang w:val="en-US" w:eastAsia="zh-CN"/>
        </w:rPr>
        <w:t>（三）加大法治宣传的力度和范围，特别是群众常用法律要重点进行宣传讲解。</w:t>
      </w:r>
      <w:r>
        <w:rPr>
          <w:rFonts w:hint="eastAsia"/>
          <w:lang w:eastAsia="zh-CN"/>
        </w:rPr>
        <w:t>在此基础上，我们将继续深入挖掘法治政府建设的内涵和外延，以问题为导向，切实推进依法行政，提高法治政府的建设水平。</w:t>
      </w:r>
    </w:p>
    <w:p>
      <w:pPr>
        <w:ind w:firstLine="640"/>
      </w:pPr>
      <w:r>
        <w:rPr>
          <w:rFonts w:hint="eastAsia"/>
          <w:lang w:eastAsia="zh-CN"/>
        </w:rPr>
        <w:t>总之，2024年及今后一段时期，我们将紧紧围绕法治政府建设这一核心任务，创新工作思路，强化工作措施，不断提高法治政府建设水平，</w:t>
      </w:r>
      <w:r>
        <w:t>深入推进法治政府建设工作，让法治政府建设进程再上新台阶。</w:t>
      </w:r>
    </w:p>
    <w:p>
      <w:pPr>
        <w:ind w:firstLine="640"/>
      </w:pPr>
    </w:p>
    <w:p>
      <w:pPr>
        <w:ind w:firstLine="640"/>
      </w:pPr>
    </w:p>
    <w:p>
      <w:pPr>
        <w:ind w:firstLine="640"/>
      </w:pPr>
    </w:p>
    <w:p>
      <w:pPr>
        <w:wordWrap w:val="0"/>
        <w:ind w:firstLine="640"/>
        <w:jc w:val="right"/>
        <w:rPr>
          <w:rFonts w:hint="default"/>
          <w:lang w:val="en-US" w:eastAsia="zh-CN"/>
        </w:rPr>
      </w:pPr>
      <w:r>
        <w:rPr>
          <w:rFonts w:hint="eastAsia"/>
          <w:lang w:val="en-US" w:eastAsia="zh-CN"/>
        </w:rPr>
        <w:t xml:space="preserve">老城镇人民政府 </w:t>
      </w:r>
    </w:p>
    <w:p>
      <w:pPr>
        <w:ind w:firstLine="640"/>
        <w:jc w:val="right"/>
        <w:rPr>
          <w:rFonts w:hint="default"/>
          <w:lang w:val="en-US" w:eastAsia="zh-CN"/>
        </w:rPr>
      </w:pPr>
      <w:r>
        <w:rPr>
          <w:rFonts w:hint="eastAsia"/>
          <w:lang w:val="en-US" w:eastAsia="zh-CN"/>
        </w:rPr>
        <w:t>2023年12月15日</w:t>
      </w:r>
    </w:p>
    <w:sectPr>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8E46CD6"/>
    <w:rsid w:val="0DDD6D83"/>
    <w:rsid w:val="1557742A"/>
    <w:rsid w:val="1C3109C5"/>
    <w:rsid w:val="1CF739BD"/>
    <w:rsid w:val="31E75EF8"/>
    <w:rsid w:val="4AE34B19"/>
    <w:rsid w:val="4ED41712"/>
    <w:rsid w:val="70EF59A6"/>
    <w:rsid w:val="78E46CD6"/>
    <w:rsid w:val="7B87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 w:cs="Times New Roman"/>
      <w:kern w:val="2"/>
      <w:sz w:val="32"/>
      <w:szCs w:val="24"/>
      <w:lang w:val="en-US" w:eastAsia="zh-CN" w:bidi="ar-SA"/>
    </w:rPr>
  </w:style>
  <w:style w:type="paragraph" w:styleId="2">
    <w:name w:val="heading 1"/>
    <w:basedOn w:val="1"/>
    <w:next w:val="1"/>
    <w:qFormat/>
    <w:uiPriority w:val="9"/>
    <w:pPr>
      <w:jc w:val="center"/>
      <w:outlineLvl w:val="0"/>
    </w:pPr>
    <w:rPr>
      <w:rFonts w:eastAsia="方正小标宋简体" w:cstheme="minorBidi"/>
      <w:bCs/>
      <w:kern w:val="44"/>
      <w:sz w:val="44"/>
      <w:szCs w:val="44"/>
    </w:rPr>
  </w:style>
  <w:style w:type="paragraph" w:styleId="3">
    <w:name w:val="heading 2"/>
    <w:basedOn w:val="1"/>
    <w:next w:val="1"/>
    <w:unhideWhenUsed/>
    <w:qFormat/>
    <w:uiPriority w:val="9"/>
    <w:pPr>
      <w:jc w:val="center"/>
      <w:outlineLvl w:val="1"/>
    </w:pPr>
    <w:rPr>
      <w:rFonts w:eastAsia="楷体" w:cstheme="majorBidi"/>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6">
    <w:name w:val="No Spacing"/>
    <w:qFormat/>
    <w:uiPriority w:val="1"/>
    <w:pPr>
      <w:widowControl w:val="0"/>
      <w:jc w:val="center"/>
    </w:pPr>
    <w:rPr>
      <w:rFonts w:eastAsia="楷体"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2023-12-14T08:23:00Z</dcterms:created>
  <dc:creator>犹如天书</dc:creator>
  <cp:lastModifiedBy>犹如天书</cp:lastModifiedBy>
  <cp:lastPrinted>2023-12-15T07:18:00Z</cp:lastPrinted>
  <dcterms:modified xsi:type="dcterms:W3CDTF">2023-12-27T04:51:02Z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0792FC06B8054499BF899DB309A60F5D_13</vt:lpwstr>
  </property>
</Properties>
</file>