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沈史馆[2023]16号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沈丘县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史志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馆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年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度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法治政府建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设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情况的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>报告</w:t>
      </w:r>
    </w:p>
    <w:p>
      <w:pPr>
        <w:rPr>
          <w:rFonts w:hint="eastAsia"/>
          <w:color w:val="auto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 xml:space="preserve">沈丘县人民政府：  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70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年，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沈丘县史志馆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县委县政府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的正确领导下，在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县委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依法治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工作委员会办公室的指导下，坚持以习近平新时代中国特色社会主义思想为指导，深入学习贯彻落实习近平法治思想，围绕建设“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美丽大花园、幸福新沈丘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”结合史志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工作实际，严格落实法治政府建设责任，扎实推进学法用法普法工作，不断提高史志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依法行政能力。现将我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年度法治政府建设报告如下：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</w:rPr>
        <w:t> 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、</w:t>
      </w:r>
      <w:r>
        <w:rPr>
          <w:rStyle w:val="7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</w:rPr>
        <w:t>主要负责人履行推进法治建设第一责任人职责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史志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馆馆长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作为推进法治建设第一责任人，能够按照党政主要负责人履行推进法治建设第一责任人职责规定，切实加强本单位法治建设的组织和领导。召开班子会议，专题分析研究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年法治政府建设考核结果，对所存在问题，提出一系列整改措施，并对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年法治政府工作进行部署，将依法行政工作纳入年度目标任务同筹划同部署同落实，明确细化法治政府建设工作的任务和要求，有效地保障了法治建设各项工作的开展。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史志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馆馆长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在理论学习中心组学习、党员干部理论学习中，能够参加每月一次理论学习中心组学习和党员集中学习，并带头领学。按照述法工作要求，将履行推进法治建设第一责任人职责情况列入个人年终述职报告。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</w:rPr>
        <w:t>、推进法治政府建设的主要举措和成效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一是深入学习贯彻习近平法治思想。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我单位将习近平法治思想作为学习党的二十大精神的重要内容，严格落实“第一议题”制度，把深入学习贯彻习近平法治思想作为重要政治任务，深刻领会蕴含其中的科学内涵、精神实质、实践要求，准确把握贯穿其中的马克思主义立场、观点和方法，进一步提高政治判断力、政治领悟力、政治执行力，切实增强“四个意识”、坚定“四个自信”、做到“两个维护”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二是加强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法治教育宣传培训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按照年初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制订的</w:t>
      </w:r>
      <w:r>
        <w:rPr>
          <w:rFonts w:hint="eastAsia" w:ascii="仿宋" w:hAnsi="仿宋" w:eastAsia="仿宋" w:cs="仿宋"/>
          <w:sz w:val="32"/>
          <w:szCs w:val="32"/>
        </w:rPr>
        <w:t>学习计划，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主要领导带头学习了</w:t>
      </w:r>
      <w:r>
        <w:rPr>
          <w:rFonts w:hint="eastAsia" w:ascii="仿宋" w:hAnsi="仿宋" w:eastAsia="仿宋" w:cs="仿宋"/>
          <w:sz w:val="32"/>
          <w:szCs w:val="32"/>
        </w:rPr>
        <w:t>《中国共产党党章》、《中国共产党纪律处分条例》、《中国共产党廉政准则》等内容，侧重学习《公务员法》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地方志工作条例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保密法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印刷业管理条例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等法律法规，将相关法律条款熟记于心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让法律法规武装头脑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通过学习，进一步解放思想、更新观念，找准问题、看到差距，理清思路、明确目标。把所学的理论知识与实际工作紧密结合起来，做到学以致用，并善于运用所学知识指导实践，解决工作中的难题。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日，到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金水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社区开展“美好生活，民法典相伴”主题宣传活动，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馆长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向群众宣传《民法典》中有关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物权编、合同编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的有关内容。同时还向群众解释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地方志工作条例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》。结合宪法宣传周活动，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/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日，组织全体干部职工专题学习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宪法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活动。同时充分利用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微信公众号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在相关节日节点向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广大读者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宣传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八五普法、宪法、民法典等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法律知识。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三是严格落实重大决策程序</w:t>
      </w:r>
      <w:r>
        <w:rPr>
          <w:rStyle w:val="7"/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。</w:t>
      </w:r>
      <w:r>
        <w:rPr>
          <w:rStyle w:val="7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史志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领导班子严格执行“三重一大”事项会议制度。召开“三重一大”会议前，做好资料及会前交流准备，邀请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纪委监委派驻组同志参加班子会议。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年，共召开班子会议讨论“三重一大”事项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项，其中涉及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人事任命、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专项经费使用、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重点工作启动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等工作，会议由单位主要负责人主持，并严格实行一把手末位表态制度。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四是强化领导机制。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史志馆成立了以馆长为组长，副馆长为副组长，各股室负责人为成员的史志馆法治政府建设领导小组。认真落实第一责任人职责，坚持将法治政府建设与主要业务工作同部署、同推进、同督促、同考核，切实履行法治政府建设主体责任，部署法治政府建设年度重点工作，及时报告法治政府建设工作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32"/>
          <w:szCs w:val="32"/>
        </w:rPr>
        <w:t>、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</w:rPr>
        <w:t>202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3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</w:rPr>
        <w:t>年法治政府建设的不足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/>
        </w:rPr>
        <w:t>202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年，我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在法治政府建设工作中虽然取得了一定的成效，但是还存在一些不足，</w:t>
      </w:r>
      <w:r>
        <w:rPr>
          <w:rFonts w:hint="eastAsia" w:ascii="仿宋" w:hAnsi="仿宋" w:eastAsia="仿宋" w:cs="仿宋"/>
          <w:sz w:val="32"/>
          <w:szCs w:val="32"/>
        </w:rPr>
        <w:t>一是对法律、法规的学习虽已进入常态化，但应用于指导实践、推动工作的水平不足；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二是运用法治思维和法治方式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依法治国、依法管理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能力还有待提高。</w:t>
      </w:r>
      <w:r>
        <w:rPr>
          <w:rFonts w:hint="eastAsia" w:ascii="仿宋" w:hAnsi="仿宋" w:eastAsia="仿宋" w:cs="仿宋"/>
          <w:sz w:val="32"/>
          <w:szCs w:val="32"/>
        </w:rPr>
        <w:t xml:space="preserve">  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32"/>
          <w:szCs w:val="32"/>
        </w:rPr>
        <w:t>、</w:t>
      </w:r>
      <w:r>
        <w:rPr>
          <w:rStyle w:val="7"/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32"/>
          <w:szCs w:val="32"/>
        </w:rPr>
        <w:t>下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</w:rPr>
        <w:t>一年度法治政府建设的</w:t>
      </w:r>
      <w:r>
        <w:rPr>
          <w:rStyle w:val="7"/>
          <w:rFonts w:hint="eastAsia" w:ascii="黑体" w:hAnsi="黑体" w:eastAsia="黑体" w:cs="黑体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初步安排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 w:cs="仿宋"/>
          <w:sz w:val="32"/>
          <w:szCs w:val="32"/>
        </w:rPr>
        <w:t>将加大工作力度，寻找差距、弥补不足，认真贯彻党的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二十大</w:t>
      </w:r>
      <w:r>
        <w:rPr>
          <w:rFonts w:hint="eastAsia" w:ascii="仿宋" w:hAnsi="仿宋" w:eastAsia="仿宋" w:cs="仿宋"/>
          <w:sz w:val="32"/>
          <w:szCs w:val="32"/>
        </w:rPr>
        <w:t>和关于法治政府建设的重要指示精神，立足职能职责，开展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法治政府建设</w:t>
      </w:r>
      <w:r>
        <w:rPr>
          <w:rFonts w:hint="eastAsia" w:ascii="仿宋" w:hAnsi="仿宋" w:eastAsia="仿宋" w:cs="仿宋"/>
          <w:sz w:val="32"/>
          <w:szCs w:val="32"/>
        </w:rPr>
        <w:t>。  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一是加大依法行政监督力度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坚持按法律办事，按制度办事，按规矩办事，进一步完善依法、科学、民主决策机制，建立健全依法行政各项规章制度，用制度管权、管事、管人，用制度规范、约束机关行为，努力建设负责、高效、务实政府。  　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二是全面加强法治宣传力度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开展形式多样、内容丰富的法治宣传教育，在法治建设中主动对标、争先进位，掀起比学赶超的浓厚氛围，提高依法行政、依法执政水平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三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是</w:t>
      </w:r>
      <w:r>
        <w:rPr>
          <w:rStyle w:val="7"/>
          <w:rFonts w:hint="eastAsia" w:ascii="楷体" w:hAnsi="楷体" w:eastAsia="楷体" w:cs="楷体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开展形式多样的学习培训。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通过集中学习、个人自学、网络学习、现场学习和“三会一课”等方式，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丰富课堂内容和形式，组织干部职工深入学习贯彻落实习近平法治思想。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四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auto"/>
          <w:spacing w:val="15"/>
          <w:sz w:val="32"/>
          <w:szCs w:val="32"/>
          <w:lang w:eastAsia="zh-CN"/>
        </w:rPr>
        <w:t>是</w:t>
      </w:r>
      <w:r>
        <w:rPr>
          <w:rStyle w:val="7"/>
          <w:rFonts w:hint="eastAsia" w:ascii="楷体" w:hAnsi="楷体" w:eastAsia="楷体" w:cs="楷体"/>
          <w:b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提高职工法治思维与能力。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加强与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委法规室、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县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司法局有关法律业务的沟通，提高我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val="en-US" w:eastAsia="zh-CN"/>
        </w:rPr>
        <w:t>馆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u w:val="none"/>
          <w:lang w:eastAsia="zh-CN"/>
        </w:rPr>
        <w:t>工作人员自觉运用法治思维和法治方式开展史志工作的能力，将各项工作纳入法治化轨道化。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auto"/>
          <w:spacing w:val="15"/>
          <w:sz w:val="32"/>
          <w:szCs w:val="32"/>
        </w:rPr>
        <w:t>、无其他需要报告的情况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26" w:firstLine="420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26" w:firstLine="420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26" w:firstLine="420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26" w:firstLine="420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26" w:firstLine="420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26" w:firstLine="420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26" w:firstLine="4200" w:firstLineChars="1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226" w:firstLine="4550" w:firstLineChars="13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>沈丘县地方史志编纂馆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226" w:right="226" w:firstLine="634"/>
        <w:jc w:val="both"/>
        <w:textAlignment w:val="auto"/>
        <w:rPr>
          <w:color w:val="auto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15"/>
          <w:sz w:val="32"/>
          <w:szCs w:val="32"/>
          <w:lang w:val="en-US" w:eastAsia="zh-CN"/>
        </w:rPr>
        <w:t xml:space="preserve">                     2023年12月14日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N2QwZmNlMGQyNTc5YTA1MDZlNTNjYjFlODVlNzUifQ=="/>
  </w:docVars>
  <w:rsids>
    <w:rsidRoot w:val="00000000"/>
    <w:rsid w:val="02296E92"/>
    <w:rsid w:val="02FC0103"/>
    <w:rsid w:val="043833BC"/>
    <w:rsid w:val="06C74ECC"/>
    <w:rsid w:val="077C4ADB"/>
    <w:rsid w:val="078D1C71"/>
    <w:rsid w:val="08053EFD"/>
    <w:rsid w:val="08732C15"/>
    <w:rsid w:val="0B2E376B"/>
    <w:rsid w:val="0DF26CD2"/>
    <w:rsid w:val="109E4EEF"/>
    <w:rsid w:val="13593036"/>
    <w:rsid w:val="135B2C24"/>
    <w:rsid w:val="1413274F"/>
    <w:rsid w:val="15DB44F0"/>
    <w:rsid w:val="170610F8"/>
    <w:rsid w:val="1A2A3350"/>
    <w:rsid w:val="1A4A55D6"/>
    <w:rsid w:val="22A9302F"/>
    <w:rsid w:val="26BC17D3"/>
    <w:rsid w:val="27CB20A5"/>
    <w:rsid w:val="2A4E1504"/>
    <w:rsid w:val="2BAE77C2"/>
    <w:rsid w:val="2D082E62"/>
    <w:rsid w:val="2F370591"/>
    <w:rsid w:val="333A41AC"/>
    <w:rsid w:val="36897924"/>
    <w:rsid w:val="3F696545"/>
    <w:rsid w:val="44CF7F3D"/>
    <w:rsid w:val="46122B4A"/>
    <w:rsid w:val="465A799C"/>
    <w:rsid w:val="46EB5A91"/>
    <w:rsid w:val="4722005B"/>
    <w:rsid w:val="49543DC1"/>
    <w:rsid w:val="4A037596"/>
    <w:rsid w:val="4A525E27"/>
    <w:rsid w:val="4A7D10F6"/>
    <w:rsid w:val="4B887D52"/>
    <w:rsid w:val="4C9535F9"/>
    <w:rsid w:val="4F0911AA"/>
    <w:rsid w:val="4F4A3571"/>
    <w:rsid w:val="504F24F7"/>
    <w:rsid w:val="50B67110"/>
    <w:rsid w:val="52500E9E"/>
    <w:rsid w:val="53AE40CE"/>
    <w:rsid w:val="53F00B8B"/>
    <w:rsid w:val="569E2BEC"/>
    <w:rsid w:val="56D976B4"/>
    <w:rsid w:val="5780751F"/>
    <w:rsid w:val="57B43C00"/>
    <w:rsid w:val="585C5FD6"/>
    <w:rsid w:val="59B61F2F"/>
    <w:rsid w:val="5A934CD6"/>
    <w:rsid w:val="5C480E38"/>
    <w:rsid w:val="5D6952E9"/>
    <w:rsid w:val="5FA34D03"/>
    <w:rsid w:val="5FB32A6C"/>
    <w:rsid w:val="604C0EF7"/>
    <w:rsid w:val="61AB7E9F"/>
    <w:rsid w:val="63BE035D"/>
    <w:rsid w:val="643F0D73"/>
    <w:rsid w:val="64895952"/>
    <w:rsid w:val="66184D0A"/>
    <w:rsid w:val="66B9305E"/>
    <w:rsid w:val="66F1578E"/>
    <w:rsid w:val="69AC6EAA"/>
    <w:rsid w:val="6A2133F4"/>
    <w:rsid w:val="6B0709B0"/>
    <w:rsid w:val="6C1256EA"/>
    <w:rsid w:val="6E892A78"/>
    <w:rsid w:val="730B2E93"/>
    <w:rsid w:val="730B69EF"/>
    <w:rsid w:val="745928A9"/>
    <w:rsid w:val="750C4231"/>
    <w:rsid w:val="76F61765"/>
    <w:rsid w:val="77D370CF"/>
    <w:rsid w:val="77D777E8"/>
    <w:rsid w:val="7BBF0CBF"/>
    <w:rsid w:val="7BE73F1B"/>
    <w:rsid w:val="7C727ADF"/>
    <w:rsid w:val="7E4C610E"/>
    <w:rsid w:val="7FBB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2023-12-12T06:37:00Z</dcterms:created>
  <dc:creator>lenovo</dc:creator>
  <cp:lastModifiedBy>盼盼</cp:lastModifiedBy>
  <dcterms:modified xsi:type="dcterms:W3CDTF">2024-02-27T01:38:02Z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1308A86B86E14768B9D122F91E449625_12</vt:lpwstr>
  </property>
</Properties>
</file>