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沈丘县商务局</w:t>
      </w:r>
    </w:p>
    <w:bookmarkEnd w:id="0"/>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年度法治政府建设情况</w:t>
      </w:r>
      <w:r>
        <w:rPr>
          <w:rFonts w:hint="eastAsia" w:ascii="方正小标宋简体" w:hAnsi="方正小标宋简体" w:eastAsia="方正小标宋简体" w:cs="方正小标宋简体"/>
          <w:sz w:val="44"/>
          <w:szCs w:val="44"/>
          <w:lang w:val="en-US" w:eastAsia="zh-CN"/>
        </w:rPr>
        <w:t>的</w:t>
      </w:r>
      <w:r>
        <w:rPr>
          <w:rFonts w:hint="eastAsia" w:ascii="方正小标宋简体" w:hAnsi="方正小标宋简体" w:eastAsia="方正小标宋简体" w:cs="方正小标宋简体"/>
          <w:sz w:val="44"/>
          <w:szCs w:val="44"/>
        </w:rPr>
        <w:t>报告</w:t>
      </w:r>
    </w:p>
    <w:p>
      <w:pPr>
        <w:jc w:val="center"/>
        <w:rPr>
          <w:rFonts w:hint="eastAsia" w:ascii="黑体" w:hAnsi="黑体" w:eastAsia="黑体" w:cs="黑体"/>
          <w:sz w:val="36"/>
          <w:szCs w:val="36"/>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沈丘县人民政府：</w:t>
      </w:r>
    </w:p>
    <w:p>
      <w:pPr>
        <w:pStyle w:val="4"/>
        <w:keepNext w:val="0"/>
        <w:keepLines w:val="0"/>
        <w:widowControl/>
        <w:suppressLineNumbers w:val="0"/>
        <w:shd w:val="clear" w:fill="FFFFFF"/>
        <w:spacing w:before="0" w:beforeAutospacing="0" w:after="0" w:afterAutospacing="0" w:line="555" w:lineRule="atLeast"/>
        <w:ind w:left="0" w:right="0" w:firstLine="645"/>
        <w:jc w:val="both"/>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i w:val="0"/>
          <w:iCs w:val="0"/>
          <w:caps w:val="0"/>
          <w:color w:val="auto"/>
          <w:spacing w:val="0"/>
          <w:sz w:val="32"/>
          <w:szCs w:val="32"/>
          <w:shd w:val="clear" w:fill="FFFFFF"/>
        </w:rPr>
        <w:t>以来，在</w:t>
      </w:r>
      <w:r>
        <w:rPr>
          <w:rFonts w:hint="eastAsia" w:ascii="仿宋" w:hAnsi="仿宋" w:eastAsia="仿宋" w:cs="仿宋"/>
          <w:i w:val="0"/>
          <w:iCs w:val="0"/>
          <w:caps w:val="0"/>
          <w:color w:val="auto"/>
          <w:spacing w:val="0"/>
          <w:sz w:val="32"/>
          <w:szCs w:val="32"/>
          <w:shd w:val="clear" w:fill="FFFFFF"/>
          <w:lang w:val="en-US" w:eastAsia="zh-CN"/>
        </w:rPr>
        <w:t>县委</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政府和法治政府建设领导小组办公室的正确领导下，</w:t>
      </w:r>
      <w:r>
        <w:rPr>
          <w:rFonts w:hint="eastAsia" w:ascii="仿宋" w:hAnsi="仿宋" w:eastAsia="仿宋" w:cs="仿宋"/>
          <w:i w:val="0"/>
          <w:iCs w:val="0"/>
          <w:caps w:val="0"/>
          <w:color w:val="auto"/>
          <w:spacing w:val="0"/>
          <w:sz w:val="32"/>
          <w:szCs w:val="32"/>
          <w:shd w:val="clear" w:fill="FFFFFF"/>
          <w:lang w:val="en-US" w:eastAsia="zh-CN"/>
        </w:rPr>
        <w:t>沈丘县</w:t>
      </w:r>
      <w:r>
        <w:rPr>
          <w:rFonts w:hint="eastAsia" w:ascii="仿宋" w:hAnsi="仿宋" w:eastAsia="仿宋" w:cs="仿宋"/>
          <w:i w:val="0"/>
          <w:iCs w:val="0"/>
          <w:caps w:val="0"/>
          <w:color w:val="auto"/>
          <w:spacing w:val="0"/>
          <w:sz w:val="32"/>
          <w:szCs w:val="32"/>
          <w:shd w:val="clear" w:fill="FFFFFF"/>
        </w:rPr>
        <w:t>商务局以习近平新时代中国特色社会主义思想和党的二十大精神为指导，深入学习贯彻习近平法治思想，按照</w:t>
      </w:r>
      <w:r>
        <w:rPr>
          <w:rFonts w:hint="eastAsia" w:ascii="仿宋" w:hAnsi="仿宋" w:eastAsia="仿宋" w:cs="仿宋"/>
          <w:i w:val="0"/>
          <w:iCs w:val="0"/>
          <w:caps w:val="0"/>
          <w:color w:val="auto"/>
          <w:spacing w:val="0"/>
          <w:sz w:val="32"/>
          <w:szCs w:val="32"/>
          <w:shd w:val="clear" w:fill="FFFFFF"/>
          <w:lang w:val="en-US" w:eastAsia="zh-CN"/>
        </w:rPr>
        <w:t>县委</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县</w:t>
      </w:r>
      <w:r>
        <w:rPr>
          <w:rFonts w:hint="eastAsia" w:ascii="仿宋" w:hAnsi="仿宋" w:eastAsia="仿宋" w:cs="仿宋"/>
          <w:i w:val="0"/>
          <w:iCs w:val="0"/>
          <w:caps w:val="0"/>
          <w:color w:val="auto"/>
          <w:spacing w:val="0"/>
          <w:sz w:val="32"/>
          <w:szCs w:val="32"/>
          <w:shd w:val="clear" w:fill="FFFFFF"/>
        </w:rPr>
        <w:t>政府工作部署，扎实推进商务领域法治政府建设。现将有关情况报告如下：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党政主要负责人履行推进法治政府建设第一责任人职责</w:t>
      </w:r>
    </w:p>
    <w:p>
      <w:pPr>
        <w:numPr>
          <w:ilvl w:val="0"/>
          <w:numId w:val="1"/>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加强法治学习。</w:t>
      </w:r>
      <w:r>
        <w:rPr>
          <w:rFonts w:hint="eastAsia" w:ascii="楷体" w:hAnsi="楷体" w:eastAsia="仿宋" w:cs="楷体"/>
          <w:sz w:val="32"/>
        </w:rPr>
        <w:t>学习传达党的二十大精神、依法治国委员会、依法治市委员会</w:t>
      </w:r>
      <w:r>
        <w:rPr>
          <w:rFonts w:hint="eastAsia" w:ascii="楷体" w:hAnsi="楷体" w:eastAsia="仿宋" w:cs="楷体"/>
          <w:sz w:val="32"/>
          <w:lang w:eastAsia="zh-CN"/>
        </w:rPr>
        <w:t>、</w:t>
      </w:r>
      <w:r>
        <w:rPr>
          <w:rFonts w:hint="eastAsia" w:ascii="楷体" w:hAnsi="楷体" w:eastAsia="仿宋" w:cs="楷体"/>
          <w:sz w:val="32"/>
          <w:lang w:val="en-US" w:eastAsia="zh-CN"/>
        </w:rPr>
        <w:t>依法治县委员会</w:t>
      </w:r>
      <w:r>
        <w:rPr>
          <w:rFonts w:hint="eastAsia" w:ascii="楷体" w:hAnsi="楷体" w:eastAsia="仿宋" w:cs="楷体"/>
          <w:sz w:val="32"/>
        </w:rPr>
        <w:t>有关会议精神，贯彻落实中央、省、市、县关于法治政府建设的决策部署，抓好法治政府建设规划、年度计划、年度报告和工作汇报等制度落实。严格落实领导干部学法制度，制定年度干部学法计划，完善局班子的学习安排，把法治学习纳入局班子学习的重要内容，认真组织学习《宪法》《民法典》《行政诉讼法》《外商投资法》《重大行政决策暂行条例》等法律法规，推进领导干部学法经常化、制度化，提高领导干部的法治思维、法治素养和依法行政能力。</w:t>
      </w:r>
    </w:p>
    <w:p>
      <w:pPr>
        <w:numPr>
          <w:ilvl w:val="0"/>
          <w:numId w:val="1"/>
        </w:numPr>
        <w:ind w:firstLine="640" w:firstLineChars="200"/>
        <w:rPr>
          <w:rFonts w:hint="eastAsia"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落实领导责任。</w:t>
      </w:r>
      <w:r>
        <w:rPr>
          <w:rFonts w:hint="eastAsia" w:ascii="楷体" w:hAnsi="楷体" w:eastAsia="仿宋" w:cs="楷体"/>
          <w:sz w:val="32"/>
        </w:rPr>
        <w:t>认真贯彻落实中共中央办公厅、国务院办公厅印发的《党政主要负责人履行推进法治建设第一责任人职责规定》精神，局主要负责人带头树牢法治理念、培养法治思维，认真履行推进法治建设第一责任。将法治政府建设摆在全局工作的重要位置，将法治建设纳入年度工作计划，充分发挥局党组在推进法治建设中的领导核心作用。定期听取有关工作汇报，每半年听取一次依法行政工作汇报，及时研究解决法治政府建设中的重大问题，为推进法治建设提供保障、创造条件。严格执行重大行政决策法定程序，建立健全政府法律顾问制度，全面推进政务公开。依法全面履行政府职能，推进行政执法责任制落实，推动严格规范公正文明执法。</w:t>
      </w:r>
    </w:p>
    <w:p>
      <w:pPr>
        <w:ind w:firstLine="640" w:firstLineChars="200"/>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202</w:t>
      </w:r>
      <w:r>
        <w:rPr>
          <w:rFonts w:hint="eastAsia" w:ascii="黑体" w:hAnsi="黑体" w:eastAsia="黑体" w:cs="黑体"/>
          <w:sz w:val="32"/>
          <w:lang w:val="en-US" w:eastAsia="zh-CN"/>
        </w:rPr>
        <w:t>3</w:t>
      </w:r>
      <w:r>
        <w:rPr>
          <w:rFonts w:hint="eastAsia" w:ascii="黑体" w:hAnsi="黑体" w:eastAsia="黑体" w:cs="黑体"/>
          <w:sz w:val="32"/>
        </w:rPr>
        <w:t>年法治政府建设工作情况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（一）深入学习贯彻习近平法治思想</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 w:hAnsi="楷体" w:eastAsia="仿宋" w:cs="楷体"/>
          <w:sz w:val="32"/>
          <w:lang w:val="en-US" w:eastAsia="zh-CN"/>
        </w:rPr>
      </w:pPr>
      <w:r>
        <w:rPr>
          <w:rFonts w:hint="eastAsia" w:ascii="楷体" w:hAnsi="楷体" w:eastAsia="仿宋" w:cs="楷体"/>
          <w:sz w:val="32"/>
          <w:lang w:val="en-US" w:eastAsia="zh-CN"/>
        </w:rPr>
        <w:t>坚持以习近平法治思想为推进法治政府建设的根本遵循和行动指南不动摇。把深入学习贯彻习近平法治思想作为重要政治任务，深刻领会蕴含其中的科学内涵、精神实质、实质要求，准确把握贯穿其中的马克思主义立场、观点和方法，切实提高政治判断力、政治领悟力、政治执行力，增强“四个意识”、坚定“四个自信”、做到“两个维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仿宋" w:cs="楷体"/>
          <w:sz w:val="32"/>
          <w:lang w:val="en-US" w:eastAsia="zh-CN"/>
        </w:rPr>
      </w:pPr>
      <w:r>
        <w:rPr>
          <w:rFonts w:hint="eastAsia" w:ascii="Helvetica" w:hAnsi="Helvetica" w:eastAsia="仿宋" w:cs="Helvetica"/>
          <w:i w:val="0"/>
          <w:iCs w:val="0"/>
          <w:caps w:val="0"/>
          <w:color w:val="000000"/>
          <w:spacing w:val="0"/>
          <w:sz w:val="32"/>
          <w:szCs w:val="24"/>
          <w:shd w:val="clear" w:fill="FFFFFF"/>
          <w:lang w:val="en-US" w:eastAsia="zh-CN"/>
        </w:rPr>
        <w:t>2、</w:t>
      </w:r>
      <w:r>
        <w:rPr>
          <w:rFonts w:ascii="Helvetica" w:hAnsi="Helvetica" w:eastAsia="仿宋" w:cs="Helvetica"/>
          <w:i w:val="0"/>
          <w:iCs w:val="0"/>
          <w:caps w:val="0"/>
          <w:color w:val="000000"/>
          <w:spacing w:val="0"/>
          <w:sz w:val="32"/>
          <w:szCs w:val="24"/>
          <w:shd w:val="clear" w:fill="FFFFFF"/>
        </w:rPr>
        <w:t>加强思想学习，深刻领悟习近平法治思想内涵</w:t>
      </w:r>
      <w:r>
        <w:rPr>
          <w:rFonts w:hint="eastAsia" w:ascii="Helvetica" w:hAnsi="Helvetica" w:eastAsia="仿宋" w:cs="Helvetica"/>
          <w:i w:val="0"/>
          <w:iCs w:val="0"/>
          <w:caps w:val="0"/>
          <w:color w:val="000000"/>
          <w:spacing w:val="0"/>
          <w:sz w:val="32"/>
          <w:szCs w:val="24"/>
          <w:shd w:val="clear" w:fill="FFFFFF"/>
          <w:lang w:eastAsia="zh-CN"/>
        </w:rPr>
        <w:t>。</w:t>
      </w:r>
      <w:r>
        <w:rPr>
          <w:rFonts w:hint="eastAsia" w:ascii="楷体" w:hAnsi="楷体" w:eastAsia="仿宋" w:cs="楷体"/>
          <w:sz w:val="32"/>
        </w:rPr>
        <w:t>局领导班子认真学习习近平法治思想和党的二十大精神，</w:t>
      </w:r>
      <w:r>
        <w:rPr>
          <w:rFonts w:hint="eastAsia" w:ascii="楷体" w:hAnsi="楷体" w:eastAsia="仿宋" w:cs="楷体"/>
          <w:sz w:val="32"/>
          <w:lang w:val="en-US" w:eastAsia="zh-CN"/>
        </w:rPr>
        <w:t>召开</w:t>
      </w:r>
      <w:r>
        <w:rPr>
          <w:rFonts w:hint="eastAsia" w:ascii="仿宋" w:hAnsi="仿宋" w:eastAsia="仿宋" w:cs="仿宋"/>
          <w:color w:val="auto"/>
          <w:sz w:val="32"/>
          <w:lang w:val="en-US" w:eastAsia="zh-CN"/>
        </w:rPr>
        <w:t>了学习习近平法治思想专题培训会。利用局每周例会，</w:t>
      </w:r>
      <w:r>
        <w:rPr>
          <w:rFonts w:hint="eastAsia" w:ascii="仿宋" w:hAnsi="仿宋" w:eastAsia="仿宋" w:cs="仿宋"/>
          <w:i w:val="0"/>
          <w:iCs w:val="0"/>
          <w:caps w:val="0"/>
          <w:color w:val="auto"/>
          <w:spacing w:val="8"/>
          <w:sz w:val="32"/>
          <w:szCs w:val="32"/>
          <w:shd w:val="clear" w:fill="FFFFFF"/>
        </w:rPr>
        <w:t>局班子成员和全体股长轮流为全局上一堂理论课，</w:t>
      </w:r>
      <w:r>
        <w:rPr>
          <w:rFonts w:hint="eastAsia" w:ascii="仿宋" w:hAnsi="仿宋" w:eastAsia="仿宋" w:cs="仿宋"/>
          <w:i w:val="0"/>
          <w:iCs w:val="0"/>
          <w:caps w:val="0"/>
          <w:color w:val="auto"/>
          <w:spacing w:val="0"/>
          <w:sz w:val="32"/>
          <w:szCs w:val="32"/>
          <w:shd w:val="clear" w:fill="FFFFFF"/>
        </w:rPr>
        <w:t>增强了法治意识，提高了依法办事能力</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color w:val="auto"/>
          <w:sz w:val="32"/>
          <w:lang w:val="en-US" w:eastAsia="zh-CN"/>
        </w:rPr>
        <w:t>5月10日—12日，组织相关工作人员参加了由中央组织部、司法部举办“学习贯彻习近平法治思想暨强化行政执法能力建设专题培训会”，并在5月20日组织单位行政执法人员观看学习了本次培训会。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（二）健全政府机构职能体系，推动更好发挥政府作用</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rPr>
      </w:pPr>
      <w:r>
        <w:rPr>
          <w:rFonts w:hint="eastAsia" w:ascii="仿宋" w:hAnsi="仿宋" w:eastAsia="仿宋" w:cs="仿宋"/>
          <w:color w:val="auto"/>
          <w:sz w:val="32"/>
          <w:lang w:val="en-US" w:eastAsia="zh-CN"/>
        </w:rPr>
        <w:t>1、深入推进“放管服”改革</w:t>
      </w:r>
      <w:r>
        <w:rPr>
          <w:rFonts w:hint="eastAsia" w:ascii="仿宋" w:hAnsi="仿宋" w:eastAsia="仿宋" w:cs="仿宋"/>
          <w:color w:val="auto"/>
          <w:sz w:val="32"/>
        </w:rPr>
        <w:t>。</w:t>
      </w:r>
      <w:r>
        <w:rPr>
          <w:rFonts w:hint="eastAsia" w:ascii="仿宋" w:hAnsi="仿宋" w:eastAsia="仿宋" w:cs="仿宋"/>
          <w:color w:val="auto"/>
          <w:sz w:val="32"/>
          <w:lang w:val="en-US" w:eastAsia="zh-CN"/>
        </w:rPr>
        <w:t>在</w:t>
      </w:r>
      <w:r>
        <w:rPr>
          <w:rFonts w:hint="eastAsia" w:ascii="仿宋" w:hAnsi="仿宋" w:eastAsia="仿宋" w:cs="仿宋"/>
          <w:color w:val="auto"/>
          <w:sz w:val="32"/>
        </w:rPr>
        <w:t>深入推进“放管服”改革和“一网通办”</w:t>
      </w:r>
      <w:r>
        <w:rPr>
          <w:rFonts w:hint="eastAsia" w:ascii="仿宋" w:hAnsi="仿宋" w:eastAsia="仿宋" w:cs="仿宋"/>
          <w:color w:val="auto"/>
          <w:sz w:val="32"/>
          <w:lang w:val="en-US" w:eastAsia="zh-CN"/>
        </w:rPr>
        <w:t>的</w:t>
      </w:r>
      <w:r>
        <w:rPr>
          <w:rFonts w:hint="eastAsia" w:ascii="仿宋" w:hAnsi="仿宋" w:eastAsia="仿宋" w:cs="仿宋"/>
          <w:color w:val="auto"/>
          <w:sz w:val="32"/>
        </w:rPr>
        <w:t>前提下</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我局</w:t>
      </w:r>
      <w:r>
        <w:rPr>
          <w:rFonts w:hint="eastAsia" w:ascii="仿宋" w:hAnsi="仿宋" w:eastAsia="仿宋" w:cs="仿宋"/>
          <w:color w:val="auto"/>
          <w:sz w:val="32"/>
        </w:rPr>
        <w:t>优化工作流程，推行一次性告知，“最多跑一次”改革，不断压缩审批时限、提升审批效能</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并</w:t>
      </w:r>
      <w:r>
        <w:rPr>
          <w:rFonts w:hint="eastAsia" w:ascii="仿宋" w:hAnsi="仿宋" w:eastAsia="仿宋" w:cs="仿宋"/>
          <w:color w:val="auto"/>
          <w:sz w:val="32"/>
        </w:rPr>
        <w:t>公布商务部门职责及行政执法流程图</w:t>
      </w:r>
      <w:r>
        <w:rPr>
          <w:rFonts w:hint="eastAsia" w:ascii="仿宋" w:hAnsi="仿宋" w:eastAsia="仿宋" w:cs="仿宋"/>
          <w:color w:val="auto"/>
          <w:sz w:val="32"/>
          <w:lang w:eastAsia="zh-CN"/>
        </w:rPr>
        <w:t>。</w:t>
      </w:r>
      <w:r>
        <w:rPr>
          <w:rFonts w:hint="eastAsia" w:ascii="仿宋" w:hAnsi="仿宋" w:eastAsia="仿宋" w:cs="仿宋"/>
          <w:i w:val="0"/>
          <w:iCs w:val="0"/>
          <w:caps w:val="0"/>
          <w:color w:val="auto"/>
          <w:spacing w:val="0"/>
          <w:sz w:val="32"/>
          <w:szCs w:val="24"/>
          <w:shd w:val="clear" w:fill="FFFFFF"/>
        </w:rPr>
        <w:t>取消“对外贸易经营者备案登记”事项，不再要求从事货物进出口或者技术进出口的市场主体办理对外贸易经营者备案登记，仅保留</w:t>
      </w:r>
      <w:r>
        <w:rPr>
          <w:rFonts w:hint="eastAsia" w:ascii="仿宋" w:hAnsi="仿宋" w:eastAsia="仿宋" w:cs="仿宋"/>
          <w:i w:val="0"/>
          <w:iCs w:val="0"/>
          <w:caps w:val="0"/>
          <w:color w:val="auto"/>
          <w:spacing w:val="0"/>
          <w:sz w:val="32"/>
          <w:szCs w:val="24"/>
          <w:shd w:val="clear" w:fill="FFFFFF"/>
          <w:lang w:val="en-US" w:eastAsia="zh-CN"/>
        </w:rPr>
        <w:t>10</w:t>
      </w:r>
      <w:r>
        <w:rPr>
          <w:rFonts w:hint="eastAsia" w:ascii="仿宋" w:hAnsi="仿宋" w:eastAsia="仿宋" w:cs="仿宋"/>
          <w:i w:val="0"/>
          <w:iCs w:val="0"/>
          <w:caps w:val="0"/>
          <w:color w:val="auto"/>
          <w:spacing w:val="0"/>
          <w:sz w:val="32"/>
          <w:szCs w:val="24"/>
          <w:shd w:val="clear" w:fill="FFFFFF"/>
        </w:rPr>
        <w:t>项审批事项。</w:t>
      </w:r>
      <w:r>
        <w:rPr>
          <w:rFonts w:hint="eastAsia" w:ascii="仿宋" w:hAnsi="仿宋" w:eastAsia="仿宋" w:cs="仿宋"/>
          <w:b w:val="0"/>
          <w:bCs w:val="0"/>
          <w:i w:val="0"/>
          <w:iCs w:val="0"/>
          <w:caps w:val="0"/>
          <w:color w:val="auto"/>
          <w:spacing w:val="0"/>
          <w:sz w:val="32"/>
          <w:szCs w:val="21"/>
          <w:shd w:val="clear" w:fill="FFFFFF"/>
        </w:rPr>
        <w:t>编制</w:t>
      </w:r>
      <w:r>
        <w:rPr>
          <w:rFonts w:hint="eastAsia" w:ascii="仿宋" w:hAnsi="仿宋" w:eastAsia="仿宋" w:cs="仿宋"/>
          <w:b w:val="0"/>
          <w:bCs w:val="0"/>
          <w:i w:val="0"/>
          <w:iCs w:val="0"/>
          <w:caps w:val="0"/>
          <w:color w:val="auto"/>
          <w:spacing w:val="0"/>
          <w:sz w:val="32"/>
          <w:szCs w:val="21"/>
          <w:shd w:val="clear" w:fill="FFFFFF"/>
          <w:lang w:val="en-US" w:eastAsia="zh-CN"/>
        </w:rPr>
        <w:t>县</w:t>
      </w:r>
      <w:r>
        <w:rPr>
          <w:rFonts w:hint="eastAsia" w:ascii="仿宋" w:hAnsi="仿宋" w:eastAsia="仿宋" w:cs="仿宋"/>
          <w:b w:val="0"/>
          <w:bCs w:val="0"/>
          <w:i w:val="0"/>
          <w:iCs w:val="0"/>
          <w:caps w:val="0"/>
          <w:color w:val="auto"/>
          <w:spacing w:val="0"/>
          <w:sz w:val="32"/>
          <w:szCs w:val="21"/>
          <w:shd w:val="clear" w:fill="FFFFFF"/>
        </w:rPr>
        <w:t>商务局“双随机、一公开”</w:t>
      </w:r>
      <w:r>
        <w:rPr>
          <w:rFonts w:hint="eastAsia" w:ascii="仿宋" w:hAnsi="仿宋" w:eastAsia="仿宋" w:cs="仿宋"/>
          <w:b w:val="0"/>
          <w:bCs w:val="0"/>
          <w:i w:val="0"/>
          <w:iCs w:val="0"/>
          <w:caps w:val="0"/>
          <w:color w:val="auto"/>
          <w:spacing w:val="0"/>
          <w:sz w:val="32"/>
          <w:szCs w:val="21"/>
          <w:shd w:val="clear" w:fill="FFFFFF"/>
          <w:lang w:val="en-US" w:eastAsia="zh-CN"/>
        </w:rPr>
        <w:t>实施方案</w:t>
      </w:r>
      <w:r>
        <w:rPr>
          <w:rFonts w:hint="eastAsia" w:ascii="仿宋" w:hAnsi="仿宋" w:eastAsia="仿宋" w:cs="仿宋"/>
          <w:b w:val="0"/>
          <w:bCs w:val="0"/>
          <w:i w:val="0"/>
          <w:iCs w:val="0"/>
          <w:caps w:val="0"/>
          <w:color w:val="auto"/>
          <w:spacing w:val="0"/>
          <w:sz w:val="32"/>
          <w:szCs w:val="21"/>
          <w:shd w:val="clear" w:fill="FFFFFF"/>
        </w:rPr>
        <w:t>，制定全年“双随机、一公开”抽查任务，联合生态环境、公安等部门开展跨部门联合监管，抽查检查结果在企业信用平台公开。</w:t>
      </w:r>
      <w:r>
        <w:rPr>
          <w:rFonts w:hint="eastAsia" w:ascii="仿宋" w:hAnsi="仿宋" w:eastAsia="仿宋" w:cs="仿宋"/>
          <w:i w:val="0"/>
          <w:iCs w:val="0"/>
          <w:caps w:val="0"/>
          <w:color w:val="auto"/>
          <w:spacing w:val="0"/>
          <w:sz w:val="32"/>
          <w:szCs w:val="31"/>
          <w:shd w:val="clear" w:fill="FFFFFF"/>
        </w:rPr>
        <w:t>进一步压实12345热线工单办理的责任落实制度，确保热线工作顺利进行，提高派单精准时效。</w:t>
      </w:r>
      <w:r>
        <w:rPr>
          <w:rFonts w:hint="eastAsia" w:ascii="仿宋" w:hAnsi="仿宋" w:eastAsia="仿宋" w:cs="仿宋"/>
          <w:color w:val="auto"/>
          <w:sz w:val="32"/>
          <w:lang w:val="en-US" w:eastAsia="zh-CN"/>
        </w:rPr>
        <w:t>截止目前，</w:t>
      </w:r>
      <w:r>
        <w:rPr>
          <w:rFonts w:hint="eastAsia" w:ascii="仿宋" w:hAnsi="仿宋" w:eastAsia="仿宋" w:cs="仿宋"/>
          <w:color w:val="auto"/>
          <w:sz w:val="32"/>
        </w:rPr>
        <w:t>共接收投诉举报1</w:t>
      </w:r>
      <w:r>
        <w:rPr>
          <w:rFonts w:hint="eastAsia" w:ascii="仿宋" w:hAnsi="仿宋" w:eastAsia="仿宋" w:cs="仿宋"/>
          <w:color w:val="auto"/>
          <w:sz w:val="32"/>
          <w:lang w:val="en-US" w:eastAsia="zh-CN"/>
        </w:rPr>
        <w:t>9</w:t>
      </w:r>
      <w:r>
        <w:rPr>
          <w:rFonts w:hint="eastAsia" w:ascii="仿宋" w:hAnsi="仿宋" w:eastAsia="仿宋" w:cs="仿宋"/>
          <w:color w:val="auto"/>
          <w:sz w:val="32"/>
        </w:rPr>
        <w:t>起，办结回复及反馈1</w:t>
      </w:r>
      <w:r>
        <w:rPr>
          <w:rFonts w:hint="eastAsia" w:ascii="仿宋" w:hAnsi="仿宋" w:eastAsia="仿宋" w:cs="仿宋"/>
          <w:color w:val="auto"/>
          <w:sz w:val="32"/>
          <w:lang w:val="en-US" w:eastAsia="zh-CN"/>
        </w:rPr>
        <w:t>9</w:t>
      </w:r>
      <w:r>
        <w:rPr>
          <w:rFonts w:hint="eastAsia" w:ascii="仿宋" w:hAnsi="仿宋" w:eastAsia="仿宋" w:cs="仿宋"/>
          <w:color w:val="auto"/>
          <w:sz w:val="32"/>
        </w:rPr>
        <w:t>起，办结率100%。</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 w:hAnsi="楷体" w:eastAsia="仿宋" w:cs="楷体"/>
          <w:sz w:val="32"/>
        </w:rPr>
      </w:pPr>
      <w:r>
        <w:rPr>
          <w:rFonts w:hint="eastAsia" w:ascii="仿宋" w:hAnsi="仿宋" w:eastAsia="仿宋" w:cs="仿宋"/>
          <w:color w:val="auto"/>
          <w:sz w:val="32"/>
          <w:lang w:val="en-US" w:eastAsia="zh-CN"/>
        </w:rPr>
        <w:t>2、持续优化法治化营商环境。</w:t>
      </w:r>
      <w:r>
        <w:rPr>
          <w:rFonts w:hint="eastAsia" w:ascii="仿宋" w:hAnsi="仿宋" w:eastAsia="仿宋" w:cs="仿宋"/>
          <w:color w:val="auto"/>
          <w:sz w:val="32"/>
        </w:rPr>
        <w:t>积极开展公平竞争审查。认真开展歧视性和不公平市场待遇政策措施清理工作，未发</w:t>
      </w:r>
      <w:r>
        <w:rPr>
          <w:rFonts w:ascii="楷体" w:hAnsi="楷体" w:eastAsia="仿宋" w:cs="楷体"/>
          <w:sz w:val="32"/>
        </w:rPr>
        <w:t>现含有歧视性和不公平市场待遇内容的政府规章、行政规范性文件和其他政策措施。</w:t>
      </w:r>
      <w:r>
        <w:rPr>
          <w:rFonts w:hint="eastAsia" w:ascii="楷体" w:hAnsi="楷体" w:eastAsia="仿宋" w:cs="楷体"/>
          <w:sz w:val="32"/>
        </w:rPr>
        <w:t>积极开展“谁执法谁普法”工作。一年来，多次组织人员到光大环保能源（沈丘）有限公司、沈丘县豫东龙工厂、河南省沈丘县恒裕贸易有限公司等企业</w:t>
      </w:r>
      <w:r>
        <w:rPr>
          <w:rFonts w:hint="eastAsia" w:ascii="楷体" w:hAnsi="楷体" w:eastAsia="仿宋" w:cs="楷体"/>
          <w:sz w:val="32"/>
          <w:lang w:eastAsia="zh-CN"/>
        </w:rPr>
        <w:t>，</w:t>
      </w:r>
      <w:r>
        <w:rPr>
          <w:rFonts w:hint="eastAsia" w:ascii="楷体" w:hAnsi="楷体" w:eastAsia="仿宋" w:cs="楷体"/>
          <w:sz w:val="32"/>
        </w:rPr>
        <w:t>宣传电子商务法、外商投资法等法律法规，专题解决企业电子商务销售难题，协调利用电子商务行业资源，为企业牵线搭桥解决发展问题，打造服务型政府新形象，优化创新创业的投资环境，营造便利高效的贸易环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（三）健全行政执法工作体系，全面推进严格规范公正文明执法</w:t>
      </w:r>
    </w:p>
    <w:p>
      <w:pPr>
        <w:numPr>
          <w:ilvl w:val="0"/>
          <w:numId w:val="3"/>
        </w:numPr>
        <w:ind w:firstLine="640"/>
        <w:rPr>
          <w:rFonts w:hint="eastAsia" w:ascii="仿宋" w:hAnsi="仿宋" w:eastAsia="仿宋" w:cs="仿宋"/>
          <w:i w:val="0"/>
          <w:iCs w:val="0"/>
          <w:caps w:val="0"/>
          <w:color w:val="222222"/>
          <w:spacing w:val="0"/>
          <w:sz w:val="28"/>
          <w:szCs w:val="28"/>
          <w:shd w:val="clear" w:fill="FFFFFF"/>
          <w:lang w:val="en-US" w:eastAsia="zh-CN"/>
        </w:rPr>
      </w:pPr>
      <w:r>
        <w:rPr>
          <w:rFonts w:hint="eastAsia" w:ascii="楷体" w:hAnsi="楷体" w:eastAsia="仿宋" w:cs="楷体"/>
          <w:sz w:val="32"/>
          <w:lang w:val="en-US" w:eastAsia="zh-CN"/>
        </w:rPr>
        <w:t>全面落实行政执法责任制</w:t>
      </w:r>
      <w:r>
        <w:rPr>
          <w:rFonts w:ascii="楷体" w:hAnsi="楷体" w:eastAsia="仿宋" w:cs="楷体"/>
          <w:sz w:val="32"/>
        </w:rPr>
        <w:t>。认真梳理商务部门行政执法权责事项，制定行政执法权责清单、岗责体系和行政执法流程图。加强行政执法资格管理，全面实行行政执法人员持证上岗和资格管理制度，11月份</w:t>
      </w:r>
      <w:r>
        <w:rPr>
          <w:rFonts w:hint="eastAsia" w:ascii="楷体" w:hAnsi="楷体" w:eastAsia="仿宋" w:cs="楷体"/>
          <w:sz w:val="32"/>
          <w:lang w:val="en-US" w:eastAsia="zh-CN"/>
        </w:rPr>
        <w:t>我局组织</w:t>
      </w:r>
      <w:r>
        <w:rPr>
          <w:rFonts w:ascii="楷体" w:hAnsi="楷体" w:eastAsia="仿宋" w:cs="楷体"/>
          <w:sz w:val="32"/>
        </w:rPr>
        <w:t>开展</w:t>
      </w:r>
      <w:r>
        <w:rPr>
          <w:rFonts w:hint="eastAsia" w:ascii="楷体" w:hAnsi="楷体" w:eastAsia="仿宋" w:cs="楷体"/>
          <w:sz w:val="32"/>
          <w:lang w:val="en-US" w:eastAsia="zh-CN"/>
        </w:rPr>
        <w:t>了</w:t>
      </w:r>
      <w:r>
        <w:rPr>
          <w:rFonts w:ascii="楷体" w:hAnsi="楷体" w:eastAsia="仿宋" w:cs="楷体"/>
          <w:sz w:val="32"/>
        </w:rPr>
        <w:t>执法证年审工作，</w:t>
      </w:r>
      <w:r>
        <w:rPr>
          <w:rFonts w:hint="eastAsia" w:ascii="楷体" w:hAnsi="楷体" w:eastAsia="仿宋" w:cs="楷体"/>
          <w:sz w:val="32"/>
          <w:lang w:val="en-US" w:eastAsia="zh-CN"/>
        </w:rPr>
        <w:t>27</w:t>
      </w:r>
      <w:r>
        <w:rPr>
          <w:rFonts w:ascii="楷体" w:hAnsi="楷体" w:eastAsia="仿宋" w:cs="楷体"/>
          <w:sz w:val="32"/>
        </w:rPr>
        <w:t>人获得执法资格。</w:t>
      </w:r>
      <w:r>
        <w:rPr>
          <w:rFonts w:hint="eastAsia" w:ascii="楷体" w:hAnsi="楷体" w:eastAsia="仿宋" w:cs="楷体"/>
          <w:sz w:val="32"/>
          <w:lang w:val="en-US" w:eastAsia="zh-CN"/>
        </w:rPr>
        <w:t>组织学习了</w:t>
      </w:r>
      <w:r>
        <w:rPr>
          <w:rFonts w:ascii="楷体" w:hAnsi="楷体" w:eastAsia="仿宋" w:cs="楷体"/>
          <w:sz w:val="32"/>
        </w:rPr>
        <w:t>《河南省商务行政处罚裁量标准》，规范行政处罚裁量的范围、种类、幅度，不断规范行政处罚行为。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仿宋" w:cs="楷体"/>
          <w:sz w:val="32"/>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2、深入推进服务型行政执法。7</w:t>
      </w:r>
      <w:r>
        <w:rPr>
          <w:rFonts w:hint="eastAsia" w:ascii="仿宋_GB2312" w:hAnsi="仿宋_GB2312" w:eastAsia="仿宋_GB2312" w:cs="仿宋_GB2312"/>
          <w:b w:val="0"/>
          <w:i w:val="0"/>
          <w:caps w:val="0"/>
          <w:color w:val="000000"/>
          <w:spacing w:val="0"/>
          <w:sz w:val="32"/>
          <w:szCs w:val="32"/>
          <w:shd w:val="clear" w:color="auto" w:fill="FFFFFF"/>
        </w:rPr>
        <w:t>月1</w:t>
      </w:r>
      <w:r>
        <w:rPr>
          <w:rFonts w:hint="eastAsia" w:ascii="仿宋_GB2312" w:hAnsi="仿宋_GB2312" w:eastAsia="仿宋_GB2312" w:cs="仿宋_GB2312"/>
          <w:b w:val="0"/>
          <w:i w:val="0"/>
          <w:caps w:val="0"/>
          <w:color w:val="000000"/>
          <w:spacing w:val="0"/>
          <w:sz w:val="32"/>
          <w:szCs w:val="32"/>
          <w:shd w:val="clear" w:color="auto" w:fill="FFFFFF"/>
          <w:lang w:val="en-US" w:eastAsia="zh-CN"/>
        </w:rPr>
        <w:t>2</w:t>
      </w:r>
      <w:r>
        <w:rPr>
          <w:rFonts w:hint="eastAsia" w:ascii="仿宋_GB2312" w:hAnsi="仿宋_GB2312" w:eastAsia="仿宋_GB2312" w:cs="仿宋_GB2312"/>
          <w:b w:val="0"/>
          <w:i w:val="0"/>
          <w:caps w:val="0"/>
          <w:color w:val="000000"/>
          <w:spacing w:val="0"/>
          <w:sz w:val="32"/>
          <w:szCs w:val="32"/>
          <w:shd w:val="clear" w:color="auto" w:fill="FFFFFF"/>
        </w:rPr>
        <w:t>日</w:t>
      </w:r>
      <w:r>
        <w:rPr>
          <w:rFonts w:hint="eastAsia" w:ascii="仿宋_GB2312" w:hAnsi="仿宋_GB2312" w:eastAsia="仿宋_GB2312" w:cs="仿宋_GB2312"/>
          <w:b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i w:val="0"/>
          <w:caps w:val="0"/>
          <w:color w:val="000000"/>
          <w:spacing w:val="0"/>
          <w:sz w:val="32"/>
          <w:szCs w:val="32"/>
          <w:shd w:val="clear" w:color="auto" w:fill="FFFFFF"/>
        </w:rPr>
        <w:t>商务稽查</w:t>
      </w:r>
      <w:r>
        <w:rPr>
          <w:rFonts w:hint="eastAsia" w:ascii="仿宋_GB2312" w:hAnsi="仿宋_GB2312" w:eastAsia="仿宋_GB2312" w:cs="仿宋_GB2312"/>
          <w:b w:val="0"/>
          <w:i w:val="0"/>
          <w:caps w:val="0"/>
          <w:color w:val="000000"/>
          <w:spacing w:val="0"/>
          <w:sz w:val="32"/>
          <w:szCs w:val="32"/>
          <w:shd w:val="clear" w:color="auto" w:fill="FFFFFF"/>
          <w:lang w:val="en-US" w:eastAsia="zh-CN"/>
        </w:rPr>
        <w:t>大</w:t>
      </w:r>
      <w:r>
        <w:rPr>
          <w:rFonts w:hint="eastAsia" w:ascii="仿宋_GB2312" w:hAnsi="仿宋_GB2312" w:eastAsia="仿宋_GB2312" w:cs="仿宋_GB2312"/>
          <w:b w:val="0"/>
          <w:i w:val="0"/>
          <w:caps w:val="0"/>
          <w:color w:val="000000"/>
          <w:spacing w:val="0"/>
          <w:sz w:val="32"/>
          <w:szCs w:val="32"/>
          <w:shd w:val="clear" w:color="auto" w:fill="FFFFFF"/>
        </w:rPr>
        <w:t>队参加由</w:t>
      </w:r>
      <w:r>
        <w:rPr>
          <w:rFonts w:hint="eastAsia" w:ascii="仿宋_GB2312" w:hAnsi="仿宋_GB2312" w:eastAsia="仿宋_GB2312" w:cs="仿宋_GB2312"/>
          <w:b w:val="0"/>
          <w:i w:val="0"/>
          <w:caps w:val="0"/>
          <w:color w:val="000000"/>
          <w:spacing w:val="0"/>
          <w:sz w:val="32"/>
          <w:szCs w:val="32"/>
          <w:shd w:val="clear" w:color="auto" w:fill="FFFFFF"/>
          <w:lang w:val="en-US" w:eastAsia="zh-CN"/>
        </w:rPr>
        <w:t>县</w:t>
      </w:r>
      <w:r>
        <w:rPr>
          <w:rFonts w:hint="eastAsia" w:ascii="仿宋_GB2312" w:hAnsi="仿宋_GB2312" w:eastAsia="仿宋_GB2312" w:cs="仿宋_GB2312"/>
          <w:b w:val="0"/>
          <w:i w:val="0"/>
          <w:caps w:val="0"/>
          <w:color w:val="000000"/>
          <w:spacing w:val="0"/>
          <w:sz w:val="32"/>
          <w:szCs w:val="32"/>
          <w:shd w:val="clear" w:color="auto" w:fill="FFFFFF"/>
        </w:rPr>
        <w:t>法治政府建设领导小组办公室举办的“</w:t>
      </w:r>
      <w:r>
        <w:rPr>
          <w:rFonts w:hint="eastAsia" w:ascii="仿宋_GB2312" w:hAnsi="仿宋_GB2312" w:eastAsia="仿宋_GB2312" w:cs="仿宋_GB2312"/>
          <w:b w:val="0"/>
          <w:i w:val="0"/>
          <w:caps w:val="0"/>
          <w:color w:val="000000"/>
          <w:spacing w:val="0"/>
          <w:sz w:val="32"/>
          <w:szCs w:val="32"/>
          <w:shd w:val="clear" w:color="auto" w:fill="FFFFFF"/>
          <w:lang w:val="en-US" w:eastAsia="zh-CN"/>
        </w:rPr>
        <w:t>学习贯彻党的二十大精神暨服务型行政执法大比武</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 w:hAnsi="仿宋" w:eastAsia="仿宋" w:cs="仿宋"/>
          <w:b w:val="0"/>
          <w:i w:val="0"/>
          <w:caps w:val="0"/>
          <w:color w:val="000000"/>
          <w:spacing w:val="0"/>
          <w:sz w:val="32"/>
          <w:szCs w:val="32"/>
          <w:shd w:val="clear" w:color="auto" w:fill="FFFFFF"/>
        </w:rPr>
        <w:t>通过此次比武活动，进一步提升了我局一线执法人员的综合业务能力。</w:t>
      </w:r>
      <w:r>
        <w:rPr>
          <w:rFonts w:hint="eastAsia" w:ascii="仿宋" w:hAnsi="仿宋" w:eastAsia="仿宋" w:cs="仿宋"/>
          <w:b w:val="0"/>
          <w:i w:val="0"/>
          <w:caps w:val="0"/>
          <w:color w:val="000000"/>
          <w:spacing w:val="0"/>
          <w:sz w:val="32"/>
          <w:szCs w:val="32"/>
          <w:shd w:val="clear" w:color="auto" w:fill="FFFFFF"/>
          <w:lang w:val="en-US" w:eastAsia="zh-CN"/>
        </w:rPr>
        <w:t>持续开展“微宣讲、走基层”活动，8月15日，为稽查大队全体人员举办一次执法工作培训会。</w:t>
      </w:r>
      <w:r>
        <w:rPr>
          <w:rFonts w:hint="eastAsia" w:ascii="楷体" w:hAnsi="楷体" w:eastAsia="仿宋" w:cs="楷体"/>
          <w:sz w:val="32"/>
        </w:rPr>
        <w:t>大力实施行政指导，发挥行政调解化解行政争议和民事纠纷的独特优势，积极探索风险防控，梳理查找行政相对人违法风险点，制定行政相对人违法风险清单，降低或尽最大程度避免违法行为发生</w:t>
      </w:r>
      <w:r>
        <w:rPr>
          <w:rFonts w:hint="eastAsia" w:ascii="楷体" w:hAnsi="楷体" w:eastAsia="仿宋" w:cs="楷体"/>
          <w:sz w:val="32"/>
          <w:lang w:eastAsia="zh-CN"/>
        </w:rPr>
        <w:t>。</w:t>
      </w:r>
      <w:r>
        <w:rPr>
          <w:rFonts w:hint="eastAsia" w:ascii="楷体" w:hAnsi="楷体" w:eastAsia="仿宋" w:cs="楷体"/>
          <w:sz w:val="32"/>
        </w:rPr>
        <w:t>为进一步拓展行政相对人有序参与服务型行政执法工作的途径和方式，提升行政执法管理效能</w:t>
      </w:r>
      <w:r>
        <w:rPr>
          <w:rFonts w:hint="eastAsia" w:ascii="楷体" w:hAnsi="楷体" w:eastAsia="仿宋" w:cs="楷体"/>
          <w:sz w:val="32"/>
          <w:lang w:eastAsia="zh-CN"/>
        </w:rPr>
        <w:t>，</w:t>
      </w:r>
      <w:r>
        <w:rPr>
          <w:rFonts w:hint="eastAsia" w:ascii="楷体" w:hAnsi="楷体" w:eastAsia="仿宋" w:cs="楷体"/>
          <w:sz w:val="32"/>
        </w:rPr>
        <w:t>8月23日上午，沈丘县商务局在河南都士宝再生资源有限公司</w:t>
      </w:r>
      <w:r>
        <w:rPr>
          <w:rFonts w:hint="eastAsia" w:ascii="楷体" w:hAnsi="楷体" w:eastAsia="仿宋" w:cs="楷体"/>
          <w:sz w:val="32"/>
          <w:lang w:val="en-US" w:eastAsia="zh-CN"/>
        </w:rPr>
        <w:t>为</w:t>
      </w:r>
      <w:r>
        <w:rPr>
          <w:rFonts w:hint="eastAsia" w:ascii="楷体" w:hAnsi="楷体" w:eastAsia="仿宋" w:cs="楷体"/>
          <w:sz w:val="32"/>
        </w:rPr>
        <w:t>服务型行政执法联系点联系员</w:t>
      </w:r>
      <w:r>
        <w:rPr>
          <w:rFonts w:hint="eastAsia" w:ascii="楷体" w:hAnsi="楷体" w:eastAsia="仿宋" w:cs="楷体"/>
          <w:sz w:val="32"/>
          <w:lang w:val="en-US" w:eastAsia="zh-CN"/>
        </w:rPr>
        <w:t>进行了</w:t>
      </w:r>
      <w:r>
        <w:rPr>
          <w:rFonts w:hint="eastAsia" w:ascii="楷体" w:hAnsi="楷体" w:eastAsia="仿宋" w:cs="楷体"/>
          <w:sz w:val="32"/>
        </w:rPr>
        <w:t>挂牌授证。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（四）加强党的领导，完善法治政府建设组织保障和落实机制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楷体" w:hAnsi="楷体" w:eastAsia="仿宋" w:cs="楷体"/>
          <w:sz w:val="32"/>
        </w:rPr>
      </w:pPr>
      <w:r>
        <w:rPr>
          <w:rFonts w:hint="eastAsia" w:ascii="楷体" w:hAnsi="楷体" w:eastAsia="仿宋" w:cs="楷体"/>
          <w:sz w:val="32"/>
          <w:lang w:val="en-US" w:eastAsia="zh-CN"/>
        </w:rPr>
        <w:t>1、</w:t>
      </w:r>
      <w:r>
        <w:rPr>
          <w:rFonts w:hint="eastAsia" w:ascii="楷体" w:hAnsi="楷体" w:eastAsia="仿宋" w:cs="楷体"/>
          <w:sz w:val="32"/>
        </w:rPr>
        <w:t>强化法治建设领导机制。坚持党对法治工作的领导，认真组织实施依法行政、普法规划和宣传教育工作。把法治建设工作纳入机关股室年度目标责任考核内容，培养高素质法治工作队伍，确保机构设置、人员配备与法治建设任务相适应。</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楷体" w:hAnsi="楷体" w:eastAsia="仿宋" w:cs="楷体"/>
          <w:sz w:val="32"/>
          <w:lang w:val="en-US" w:eastAsia="zh-CN"/>
        </w:rPr>
      </w:pPr>
      <w:r>
        <w:rPr>
          <w:rFonts w:hint="eastAsia" w:ascii="楷体" w:hAnsi="楷体" w:eastAsia="仿宋" w:cs="楷体"/>
          <w:sz w:val="32"/>
          <w:lang w:val="en-US" w:eastAsia="zh-CN"/>
        </w:rPr>
        <w:t>2、</w:t>
      </w:r>
      <w:r>
        <w:rPr>
          <w:rFonts w:hint="eastAsia" w:ascii="楷体" w:hAnsi="楷体" w:eastAsia="仿宋" w:cs="楷体"/>
          <w:sz w:val="32"/>
        </w:rPr>
        <w:t>健全法治建设责任机制。认真落实党政主要负责人履行推进法治政府建设第一责任人职责，主要负责人带头自觉尊法学法守法用法。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仿宋" w:cs="楷体"/>
          <w:sz w:val="32"/>
        </w:rPr>
      </w:pPr>
      <w:r>
        <w:rPr>
          <w:rFonts w:hint="eastAsia" w:ascii="楷体" w:hAnsi="楷体" w:eastAsia="仿宋" w:cs="楷体"/>
          <w:sz w:val="32"/>
          <w:lang w:val="en-US" w:eastAsia="zh-CN"/>
        </w:rPr>
        <w:t>3、</w:t>
      </w:r>
      <w:r>
        <w:rPr>
          <w:rFonts w:hint="eastAsia" w:ascii="楷体" w:hAnsi="楷体" w:eastAsia="仿宋" w:cs="楷体"/>
          <w:sz w:val="32"/>
        </w:rPr>
        <w:t>完善法治建设推进机制。认真贯彻落实以“一平台、两抓手、一带动、一考核”为主体的“1211”法治政府建设工作推进机制。坚持不懈抓好服务型行政执法建设和行政执法责任制等重点工作落实。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仿宋" w:cs="楷体"/>
          <w:sz w:val="32"/>
          <w:lang w:val="en-US" w:eastAsia="zh-CN"/>
        </w:rPr>
      </w:pPr>
      <w:r>
        <w:rPr>
          <w:rFonts w:hint="eastAsia" w:ascii="仿宋" w:hAnsi="仿宋" w:eastAsia="仿宋" w:cs="仿宋"/>
          <w:sz w:val="32"/>
          <w:lang w:val="en-US" w:eastAsia="zh-CN"/>
        </w:rPr>
        <w:t>4、加强</w:t>
      </w:r>
      <w:r>
        <w:rPr>
          <w:rFonts w:hint="eastAsia" w:ascii="仿宋" w:hAnsi="仿宋" w:eastAsia="仿宋" w:cs="仿宋"/>
          <w:sz w:val="32"/>
        </w:rPr>
        <w:t>普法宣传教育</w:t>
      </w:r>
      <w:r>
        <w:rPr>
          <w:rFonts w:hint="eastAsia" w:ascii="仿宋" w:hAnsi="仿宋" w:eastAsia="仿宋" w:cs="仿宋"/>
          <w:sz w:val="32"/>
          <w:lang w:eastAsia="zh-CN"/>
        </w:rPr>
        <w:t>。</w:t>
      </w:r>
      <w:r>
        <w:rPr>
          <w:rFonts w:hint="eastAsia" w:ascii="楷体" w:hAnsi="楷体" w:eastAsia="仿宋" w:cs="楷体"/>
          <w:sz w:val="32"/>
        </w:rPr>
        <w:t>开展法律法规学习</w:t>
      </w:r>
      <w:r>
        <w:rPr>
          <w:rFonts w:hint="eastAsia" w:ascii="楷体" w:hAnsi="楷体" w:eastAsia="仿宋" w:cs="楷体"/>
          <w:sz w:val="32"/>
          <w:lang w:eastAsia="zh-CN"/>
        </w:rPr>
        <w:t>，</w:t>
      </w:r>
      <w:r>
        <w:rPr>
          <w:rFonts w:hint="eastAsia" w:ascii="楷体" w:hAnsi="楷体" w:eastAsia="仿宋" w:cs="楷体"/>
          <w:sz w:val="32"/>
        </w:rPr>
        <w:t>制定《沈丘县商务局202</w:t>
      </w:r>
      <w:r>
        <w:rPr>
          <w:rFonts w:hint="eastAsia" w:ascii="楷体" w:hAnsi="楷体" w:eastAsia="仿宋" w:cs="楷体"/>
          <w:sz w:val="32"/>
          <w:lang w:val="en-US" w:eastAsia="zh-CN"/>
        </w:rPr>
        <w:t>3</w:t>
      </w:r>
      <w:r>
        <w:rPr>
          <w:rFonts w:hint="eastAsia" w:ascii="楷体" w:hAnsi="楷体" w:eastAsia="仿宋" w:cs="楷体"/>
          <w:sz w:val="32"/>
        </w:rPr>
        <w:t>年度学法计划》，落实国家机关工作人员学法用法制度。深入开展重要节点法律法规宣传工作，营造尊法学法守法用法的法治氛围。4月15日</w:t>
      </w:r>
      <w:r>
        <w:rPr>
          <w:rFonts w:hint="eastAsia" w:ascii="楷体" w:hAnsi="楷体" w:eastAsia="仿宋" w:cs="楷体"/>
          <w:sz w:val="32"/>
          <w:lang w:val="en-US" w:eastAsia="zh-CN"/>
        </w:rPr>
        <w:t>我局组织</w:t>
      </w:r>
      <w:r>
        <w:rPr>
          <w:rFonts w:hint="eastAsia" w:ascii="楷体" w:hAnsi="楷体" w:eastAsia="仿宋" w:cs="楷体"/>
          <w:sz w:val="32"/>
        </w:rPr>
        <w:t>开展国家安全日普法活动，普及国家安全知识。9月11日-15日,</w:t>
      </w:r>
      <w:r>
        <w:rPr>
          <w:rFonts w:hint="eastAsia" w:ascii="楷体" w:hAnsi="楷体" w:eastAsia="仿宋" w:cs="楷体"/>
          <w:sz w:val="32"/>
          <w:lang w:val="en-US" w:eastAsia="zh-CN"/>
        </w:rPr>
        <w:t>我</w:t>
      </w:r>
      <w:r>
        <w:rPr>
          <w:rFonts w:hint="eastAsia" w:ascii="楷体" w:hAnsi="楷体" w:eastAsia="仿宋" w:cs="楷体"/>
          <w:sz w:val="32"/>
        </w:rPr>
        <w:t>局</w:t>
      </w:r>
      <w:r>
        <w:rPr>
          <w:rFonts w:hint="eastAsia" w:ascii="楷体" w:hAnsi="楷体" w:eastAsia="仿宋" w:cs="楷体"/>
          <w:sz w:val="32"/>
          <w:lang w:val="en-US" w:eastAsia="zh-CN"/>
        </w:rPr>
        <w:t>组织</w:t>
      </w:r>
      <w:r>
        <w:rPr>
          <w:rFonts w:hint="eastAsia" w:ascii="楷体" w:hAnsi="楷体" w:eastAsia="仿宋" w:cs="楷体"/>
          <w:sz w:val="32"/>
        </w:rPr>
        <w:t>在全县商务系统开展第二届“中国公平竞争政策宣传周”，</w:t>
      </w:r>
      <w:r>
        <w:rPr>
          <w:rFonts w:hint="eastAsia" w:ascii="楷体" w:hAnsi="楷体" w:eastAsia="仿宋" w:cs="楷体"/>
          <w:sz w:val="32"/>
          <w:lang w:val="en-US" w:eastAsia="zh-CN"/>
        </w:rPr>
        <w:t>宣传公平竞争政策和法规。11月8日，组织人员开展“美好生活 民法典相伴”（物权编、合同编）普法宣传活动。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方正黑体简体" w:hAnsi="方正黑体简体" w:eastAsia="方正黑体简体" w:cs="楷体"/>
          <w:sz w:val="32"/>
        </w:rPr>
      </w:pPr>
      <w:r>
        <w:rPr>
          <w:rFonts w:hint="eastAsia" w:ascii="方正黑体简体" w:hAnsi="方正黑体简体" w:eastAsia="方正黑体简体" w:cs="楷体"/>
          <w:sz w:val="32"/>
          <w:lang w:val="en-US" w:eastAsia="zh-CN"/>
        </w:rPr>
        <w:t>三、</w:t>
      </w:r>
      <w:r>
        <w:rPr>
          <w:rFonts w:hint="eastAsia" w:ascii="方正黑体简体" w:hAnsi="方正黑体简体" w:eastAsia="方正黑体简体" w:cs="楷体"/>
          <w:sz w:val="32"/>
        </w:rPr>
        <w:t>存在的不足和整改情况</w:t>
      </w:r>
    </w:p>
    <w:p>
      <w:pPr>
        <w:numPr>
          <w:ilvl w:val="0"/>
          <w:numId w:val="4"/>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存在的不足。</w:t>
      </w:r>
      <w:r>
        <w:rPr>
          <w:rFonts w:hint="eastAsia" w:ascii="楷体" w:hAnsi="楷体" w:eastAsia="仿宋" w:cs="楷体"/>
          <w:sz w:val="32"/>
        </w:rPr>
        <w:t>一是商务领域法律法规学习不够深入</w:t>
      </w:r>
      <w:r>
        <w:rPr>
          <w:rFonts w:hint="eastAsia" w:ascii="楷体" w:hAnsi="楷体" w:eastAsia="仿宋" w:cs="楷体"/>
          <w:sz w:val="32"/>
          <w:lang w:eastAsia="zh-CN"/>
        </w:rPr>
        <w:t>，</w:t>
      </w:r>
      <w:r>
        <w:rPr>
          <w:rFonts w:hint="eastAsia" w:ascii="楷体" w:hAnsi="楷体" w:eastAsia="仿宋" w:cs="楷体"/>
          <w:sz w:val="32"/>
        </w:rPr>
        <w:t>理论学习不够积极主动，重业务、轻学习的思想依然存在。二是部分工作人员运用法治思维和法治方式解决实际问题的能力和水平有待提升。三是对商务执法人员培训力度不够</w:t>
      </w:r>
      <w:r>
        <w:rPr>
          <w:rFonts w:hint="eastAsia" w:ascii="楷体" w:hAnsi="楷体" w:eastAsia="仿宋" w:cs="楷体"/>
          <w:sz w:val="32"/>
          <w:lang w:eastAsia="zh-CN"/>
        </w:rPr>
        <w:t>，</w:t>
      </w:r>
      <w:r>
        <w:rPr>
          <w:rFonts w:hint="eastAsia" w:ascii="楷体" w:hAnsi="楷体" w:eastAsia="仿宋" w:cs="楷体"/>
          <w:sz w:val="32"/>
        </w:rPr>
        <w:t>依法行政培训工作有待进一步加强。四是商务法治建设基础比较薄弱，有待继续巩固。</w:t>
      </w:r>
    </w:p>
    <w:p>
      <w:pPr>
        <w:numPr>
          <w:ilvl w:val="0"/>
          <w:numId w:val="4"/>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整改情况。</w:t>
      </w:r>
      <w:r>
        <w:rPr>
          <w:rFonts w:hint="eastAsia" w:ascii="楷体" w:hAnsi="楷体" w:eastAsia="仿宋" w:cs="楷体"/>
          <w:sz w:val="32"/>
        </w:rPr>
        <w:t>一是加强学习。进一步加强对习近平新时代中国特色社会主义思想，尤其是习近平法治思想的学习领会，强化学法用法制度的落实和法治宣传教育力度，不断提高商务干部运用法治思维和法治方式解决实际问题的能力水平，营造良好法治氛围。二是按照中央、省、市、县关于依法治国、依法治县和法治政府建设的部署和要求，狠抓落实，扎实推进，不断推动法治建设工作取得新成绩。三是牢固梳理整体思维，更加注重工作开拓创新，促进法治建设工作整体提升。</w:t>
      </w:r>
    </w:p>
    <w:p>
      <w:pPr>
        <w:ind w:firstLine="640" w:firstLineChars="200"/>
        <w:rPr>
          <w:rFonts w:ascii="方正黑体简体" w:hAnsi="方正黑体简体" w:eastAsia="方正黑体简体" w:cs="楷体"/>
          <w:sz w:val="32"/>
        </w:rPr>
      </w:pPr>
      <w:r>
        <w:rPr>
          <w:rFonts w:hint="eastAsia" w:ascii="方正黑体简体" w:hAnsi="方正黑体简体" w:eastAsia="方正黑体简体" w:cs="楷体"/>
          <w:sz w:val="32"/>
        </w:rPr>
        <w:t>四、202</w:t>
      </w:r>
      <w:r>
        <w:rPr>
          <w:rFonts w:hint="eastAsia" w:ascii="方正黑体简体" w:hAnsi="方正黑体简体" w:eastAsia="方正黑体简体" w:cs="楷体"/>
          <w:sz w:val="32"/>
          <w:lang w:val="en-US" w:eastAsia="zh-CN"/>
        </w:rPr>
        <w:t>4</w:t>
      </w:r>
      <w:r>
        <w:rPr>
          <w:rFonts w:hint="eastAsia" w:ascii="方正黑体简体" w:hAnsi="方正黑体简体" w:eastAsia="方正黑体简体" w:cs="楷体"/>
          <w:sz w:val="32"/>
        </w:rPr>
        <w:t>年工作计划</w:t>
      </w:r>
    </w:p>
    <w:p>
      <w:pPr>
        <w:numPr>
          <w:ilvl w:val="0"/>
          <w:numId w:val="5"/>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为商务工作高质量发展提供法治保障。</w:t>
      </w:r>
      <w:r>
        <w:rPr>
          <w:rFonts w:hint="eastAsia" w:ascii="楷体" w:hAnsi="楷体" w:eastAsia="仿宋" w:cs="楷体"/>
          <w:sz w:val="32"/>
        </w:rPr>
        <w:t>立足商务部门职能，结合商务工作特点，</w:t>
      </w:r>
      <w:r>
        <w:rPr>
          <w:rFonts w:hint="eastAsia" w:ascii="楷体" w:hAnsi="楷体" w:eastAsia="仿宋" w:cs="楷体"/>
          <w:sz w:val="32"/>
          <w:lang w:val="en-US" w:eastAsia="zh-CN"/>
        </w:rPr>
        <w:t>确保各项</w:t>
      </w:r>
      <w:r>
        <w:rPr>
          <w:rFonts w:hint="eastAsia" w:ascii="楷体" w:hAnsi="楷体" w:eastAsia="仿宋" w:cs="楷体"/>
          <w:sz w:val="32"/>
        </w:rPr>
        <w:t>法律法规落地落实，加强商务学法、规范执法、学法用法、普法宣传等工作，高质量完成各项工作任务。</w:t>
      </w:r>
    </w:p>
    <w:p>
      <w:pPr>
        <w:numPr>
          <w:ilvl w:val="0"/>
          <w:numId w:val="5"/>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全面落实市场领域重大制度。</w:t>
      </w:r>
      <w:r>
        <w:rPr>
          <w:rFonts w:hint="eastAsia" w:ascii="楷体" w:hAnsi="楷体" w:eastAsia="仿宋" w:cs="楷体"/>
          <w:sz w:val="32"/>
        </w:rPr>
        <w:t>认真贯彻落实国务院《优化营商环境条例》《河南省优化营商环境条例》。全面落实市场公平竞争审查制度，清理和废除妨碍市场公平竞争的文件，进一步激发市场活力。贯彻落实市场准入负面清单制度，规范市场准入管理，持续放宽市场准入，进一步降低市场准入门槛。落实外商投资准入前国民待遇加负面清单管理制度，依法保护外资企业合法权益。贯彻实施《河南省社会信用条例》，加强诚信政府建设</w:t>
      </w:r>
      <w:r>
        <w:rPr>
          <w:rFonts w:hint="eastAsia" w:ascii="楷体" w:hAnsi="楷体" w:eastAsia="仿宋" w:cs="楷体"/>
          <w:sz w:val="32"/>
          <w:lang w:val="en-US" w:eastAsia="zh-CN"/>
        </w:rPr>
        <w:t>和</w:t>
      </w:r>
      <w:r>
        <w:rPr>
          <w:rFonts w:hint="eastAsia" w:ascii="楷体" w:hAnsi="楷体" w:eastAsia="仿宋" w:cs="楷体"/>
          <w:sz w:val="32"/>
        </w:rPr>
        <w:t>加强社会信用体系建设。</w:t>
      </w:r>
    </w:p>
    <w:p>
      <w:pPr>
        <w:numPr>
          <w:ilvl w:val="0"/>
          <w:numId w:val="5"/>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深入推进“放管服”改革。</w:t>
      </w:r>
      <w:r>
        <w:rPr>
          <w:rFonts w:hint="eastAsia" w:ascii="楷体" w:hAnsi="楷体" w:eastAsia="仿宋" w:cs="楷体"/>
          <w:sz w:val="32"/>
          <w:lang w:val="en-US" w:eastAsia="zh-CN"/>
        </w:rPr>
        <w:t>认真贯彻</w:t>
      </w:r>
      <w:r>
        <w:rPr>
          <w:rFonts w:hint="eastAsia" w:ascii="楷体" w:hAnsi="楷体" w:eastAsia="仿宋" w:cs="楷体"/>
          <w:sz w:val="32"/>
        </w:rPr>
        <w:t>上级有关部署，继续推进商务领域“证照分离”“多证合一”改革。深化商务领域事项“一网通办”，持续提升网上服务政务能力。积极推动全面落实监管责任，提升监管能力水平。推行“双随机、一公开”监管等制度，加强规范商务领域事中事后监管，加大失信惩处力度，以公正监管促进公平竞争。</w:t>
      </w:r>
    </w:p>
    <w:p>
      <w:pPr>
        <w:numPr>
          <w:ilvl w:val="0"/>
          <w:numId w:val="5"/>
        </w:numPr>
        <w:ind w:firstLine="640" w:firstLineChars="200"/>
        <w:rPr>
          <w:rFonts w:ascii="楷体" w:hAnsi="楷体" w:eastAsia="仿宋" w:cs="楷体"/>
          <w:sz w:val="32"/>
        </w:rPr>
      </w:pPr>
      <w:r>
        <w:rPr>
          <w:rFonts w:hint="eastAsia" w:ascii="楷体_GB2312" w:hAnsi="微软雅黑" w:eastAsia="楷体_GB2312" w:cs="楷体_GB2312"/>
          <w:b w:val="0"/>
          <w:bCs w:val="0"/>
          <w:i w:val="0"/>
          <w:iCs w:val="0"/>
          <w:caps w:val="0"/>
          <w:color w:val="333333"/>
          <w:spacing w:val="0"/>
          <w:kern w:val="0"/>
          <w:sz w:val="32"/>
          <w:szCs w:val="32"/>
          <w:u w:val="none"/>
          <w:lang w:val="en-US" w:eastAsia="zh-CN" w:bidi="ar"/>
        </w:rPr>
        <w:t>规范部门行政权力运行。</w:t>
      </w:r>
      <w:r>
        <w:rPr>
          <w:rFonts w:hint="eastAsia" w:ascii="楷体" w:hAnsi="楷体" w:eastAsia="仿宋" w:cs="楷体"/>
          <w:sz w:val="32"/>
        </w:rPr>
        <w:t>全面落实权责清单制度，根据法律、法规、规章立改废释情况、机构改革和部门职责调整等情况，及时调整完善并公布权责清单，实施清单动态管理，推进权责清单工作规范化、法定化。</w:t>
      </w:r>
    </w:p>
    <w:p>
      <w:pPr>
        <w:widowControl w:val="0"/>
        <w:numPr>
          <w:ilvl w:val="0"/>
          <w:numId w:val="0"/>
        </w:numPr>
        <w:jc w:val="both"/>
        <w:rPr>
          <w:rFonts w:hint="eastAsia" w:ascii="楷体" w:hAnsi="楷体" w:eastAsia="仿宋" w:cs="楷体"/>
          <w:sz w:val="32"/>
        </w:rPr>
      </w:pPr>
    </w:p>
    <w:p>
      <w:pPr>
        <w:widowControl w:val="0"/>
        <w:numPr>
          <w:ilvl w:val="0"/>
          <w:numId w:val="0"/>
        </w:numPr>
        <w:jc w:val="both"/>
        <w:rPr>
          <w:rFonts w:hint="eastAsia" w:ascii="楷体" w:hAnsi="楷体" w:eastAsia="仿宋" w:cs="楷体"/>
          <w:sz w:val="32"/>
        </w:rPr>
      </w:pPr>
    </w:p>
    <w:p>
      <w:pPr>
        <w:widowControl w:val="0"/>
        <w:numPr>
          <w:ilvl w:val="0"/>
          <w:numId w:val="0"/>
        </w:numPr>
        <w:jc w:val="both"/>
        <w:rPr>
          <w:rFonts w:hint="eastAsia" w:ascii="楷体" w:hAnsi="楷体" w:eastAsia="仿宋" w:cs="楷体"/>
          <w:sz w:val="32"/>
        </w:rPr>
      </w:pPr>
    </w:p>
    <w:p>
      <w:pPr>
        <w:widowControl w:val="0"/>
        <w:numPr>
          <w:ilvl w:val="0"/>
          <w:numId w:val="0"/>
        </w:numPr>
        <w:jc w:val="both"/>
        <w:rPr>
          <w:rFonts w:hint="eastAsia" w:ascii="楷体" w:hAnsi="楷体" w:eastAsia="仿宋" w:cs="楷体"/>
          <w:sz w:val="32"/>
        </w:rPr>
      </w:pPr>
    </w:p>
    <w:p>
      <w:pPr>
        <w:widowControl w:val="0"/>
        <w:numPr>
          <w:ilvl w:val="0"/>
          <w:numId w:val="0"/>
        </w:numPr>
        <w:jc w:val="both"/>
        <w:rPr>
          <w:rFonts w:hint="eastAsia" w:ascii="楷体" w:hAnsi="楷体" w:eastAsia="仿宋" w:cs="楷体"/>
          <w:sz w:val="32"/>
        </w:rPr>
      </w:pPr>
    </w:p>
    <w:p>
      <w:pPr>
        <w:widowControl w:val="0"/>
        <w:numPr>
          <w:ilvl w:val="0"/>
          <w:numId w:val="0"/>
        </w:numPr>
        <w:jc w:val="both"/>
        <w:rPr>
          <w:rFonts w:hint="eastAsia" w:ascii="楷体" w:hAnsi="楷体" w:eastAsia="仿宋" w:cs="楷体"/>
          <w:sz w:val="32"/>
        </w:rPr>
      </w:pPr>
    </w:p>
    <w:p>
      <w:pPr>
        <w:widowControl w:val="0"/>
        <w:numPr>
          <w:ilvl w:val="0"/>
          <w:numId w:val="0"/>
        </w:numPr>
        <w:jc w:val="center"/>
        <w:rPr>
          <w:rFonts w:hint="eastAsia" w:ascii="仿宋" w:hAnsi="仿宋" w:eastAsia="仿宋" w:cs="仿宋"/>
          <w:sz w:val="32"/>
          <w:lang w:val="en-US" w:eastAsia="zh-CN"/>
        </w:rPr>
      </w:pPr>
      <w:r>
        <w:rPr>
          <w:rFonts w:hint="eastAsia" w:ascii="仿宋" w:hAnsi="仿宋" w:eastAsia="仿宋" w:cs="仿宋"/>
          <w:sz w:val="32"/>
          <w:lang w:val="en-US" w:eastAsia="zh-CN"/>
        </w:rPr>
        <w:t xml:space="preserve">                                  沈丘县商务局</w:t>
      </w:r>
    </w:p>
    <w:p>
      <w:pPr>
        <w:widowControl w:val="0"/>
        <w:numPr>
          <w:ilvl w:val="0"/>
          <w:numId w:val="0"/>
        </w:numPr>
        <w:jc w:val="right"/>
        <w:rPr>
          <w:rFonts w:hint="eastAsia" w:ascii="仿宋" w:hAnsi="仿宋" w:eastAsia="仿宋" w:cs="仿宋"/>
          <w:sz w:val="32"/>
          <w:lang w:val="en-US" w:eastAsia="zh-CN"/>
        </w:rPr>
      </w:pPr>
      <w:r>
        <w:rPr>
          <w:rFonts w:hint="eastAsia" w:ascii="仿宋" w:hAnsi="仿宋" w:eastAsia="仿宋" w:cs="仿宋"/>
          <w:sz w:val="32"/>
          <w:lang w:val="en-US" w:eastAsia="zh-CN"/>
        </w:rPr>
        <w:t>2023年12月14日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EC66B"/>
    <w:multiLevelType w:val="singleLevel"/>
    <w:tmpl w:val="AC7EC66B"/>
    <w:lvl w:ilvl="0" w:tentative="0">
      <w:start w:val="1"/>
      <w:numFmt w:val="decimal"/>
      <w:suff w:val="nothing"/>
      <w:lvlText w:val="%1、"/>
      <w:lvlJc w:val="left"/>
    </w:lvl>
  </w:abstractNum>
  <w:abstractNum w:abstractNumId="1">
    <w:nsid w:val="AFA5A70B"/>
    <w:multiLevelType w:val="singleLevel"/>
    <w:tmpl w:val="AFA5A70B"/>
    <w:lvl w:ilvl="0" w:tentative="0">
      <w:start w:val="1"/>
      <w:numFmt w:val="chineseCounting"/>
      <w:suff w:val="nothing"/>
      <w:lvlText w:val="（%1）"/>
      <w:lvlJc w:val="left"/>
      <w:rPr>
        <w:rFonts w:hint="eastAsia"/>
      </w:rPr>
    </w:lvl>
  </w:abstractNum>
  <w:abstractNum w:abstractNumId="2">
    <w:nsid w:val="F4C5C77A"/>
    <w:multiLevelType w:val="singleLevel"/>
    <w:tmpl w:val="F4C5C77A"/>
    <w:lvl w:ilvl="0" w:tentative="0">
      <w:start w:val="1"/>
      <w:numFmt w:val="chineseCounting"/>
      <w:suff w:val="nothing"/>
      <w:lvlText w:val="（%1）"/>
      <w:lvlJc w:val="left"/>
      <w:rPr>
        <w:rFonts w:hint="eastAsia"/>
      </w:rPr>
    </w:lvl>
  </w:abstractNum>
  <w:abstractNum w:abstractNumId="3">
    <w:nsid w:val="05A3446E"/>
    <w:multiLevelType w:val="singleLevel"/>
    <w:tmpl w:val="05A3446E"/>
    <w:lvl w:ilvl="0" w:tentative="0">
      <w:start w:val="1"/>
      <w:numFmt w:val="chineseCounting"/>
      <w:suff w:val="nothing"/>
      <w:lvlText w:val="（%1）"/>
      <w:lvlJc w:val="left"/>
      <w:rPr>
        <w:rFonts w:hint="eastAsia"/>
      </w:rPr>
    </w:lvl>
  </w:abstractNum>
  <w:abstractNum w:abstractNumId="4">
    <w:nsid w:val="4B7B9591"/>
    <w:multiLevelType w:val="singleLevel"/>
    <w:tmpl w:val="4B7B9591"/>
    <w:lvl w:ilvl="0" w:tentative="0">
      <w:start w:val="1"/>
      <w:numFmt w:val="decimal"/>
      <w:suff w:val="nothing"/>
      <w:lvlText w:val="%1、"/>
      <w:lvlJc w:val="left"/>
      <w:pPr>
        <w:ind w:left="-1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jA4OTkxZmMyYmNiMjYxNTRiNTI1M2Y5MzEyZmQifQ=="/>
  </w:docVars>
  <w:rsids>
    <w:rsidRoot w:val="01E83720"/>
    <w:rsid w:val="000370F5"/>
    <w:rsid w:val="0005195B"/>
    <w:rsid w:val="00124DDD"/>
    <w:rsid w:val="00396DD5"/>
    <w:rsid w:val="007B5C99"/>
    <w:rsid w:val="00A218BD"/>
    <w:rsid w:val="01E83720"/>
    <w:rsid w:val="098717DC"/>
    <w:rsid w:val="0F2E2272"/>
    <w:rsid w:val="0FEE1C2B"/>
    <w:rsid w:val="149C1746"/>
    <w:rsid w:val="22DA7E15"/>
    <w:rsid w:val="23FB0905"/>
    <w:rsid w:val="2C934D84"/>
    <w:rsid w:val="2E493CA9"/>
    <w:rsid w:val="2EC24B44"/>
    <w:rsid w:val="2F9E7A9E"/>
    <w:rsid w:val="325D5CAD"/>
    <w:rsid w:val="348855D5"/>
    <w:rsid w:val="35A048B5"/>
    <w:rsid w:val="409001DF"/>
    <w:rsid w:val="593F4AC6"/>
    <w:rsid w:val="596179CA"/>
    <w:rsid w:val="5DF5405A"/>
    <w:rsid w:val="61BC45FE"/>
    <w:rsid w:val="6AFC2F8B"/>
    <w:rsid w:val="6B2F3A08"/>
    <w:rsid w:val="740308D6"/>
    <w:rsid w:val="76B4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574</Words>
  <Characters>3276</Characters>
  <Lines>27</Lines>
  <Paragraphs>7</Paragraphs>
  <TotalTime>26</TotalTime>
  <ScaleCrop>false</ScaleCrop>
  <LinksUpToDate>false</LinksUpToDate>
  <CharactersWithSpaces>3843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2022-12-12T00:33:00Z</dcterms:created>
  <dc:creator>swj</dc:creator>
  <cp:lastModifiedBy>兜兜转转</cp:lastModifiedBy>
  <dcterms:modified xsi:type="dcterms:W3CDTF">2024-02-26T08:11:20Z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56BF1CBDDB944271B2862DBC6BA30B1F_13</vt:lpwstr>
  </property>
</Properties>
</file>