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黑体"/>
          <w:bCs/>
          <w:color w:val="000000"/>
          <w:sz w:val="32"/>
          <w:szCs w:val="32"/>
        </w:rPr>
      </w:pPr>
    </w:p>
    <w:p>
      <w:pPr>
        <w:jc w:val="distribute"/>
        <w:rPr>
          <w:rFonts w:eastAsia="黑体"/>
          <w:bCs/>
          <w:color w:val="000000"/>
          <w:sz w:val="32"/>
          <w:szCs w:val="32"/>
        </w:rPr>
      </w:pPr>
    </w:p>
    <w:p>
      <w:pPr>
        <w:jc w:val="distribute"/>
        <w:rPr>
          <w:rFonts w:eastAsia="方正小标宋简体"/>
          <w:bCs/>
          <w:color w:val="FFFFFF" w:themeColor="background1"/>
          <w:spacing w:val="-20"/>
          <w:w w:val="50"/>
          <w:sz w:val="120"/>
          <w:szCs w:val="120"/>
          <w14:textFill>
            <w14:solidFill>
              <w14:schemeClr w14:val="bg1"/>
            </w14:solidFill>
          </w14:textFill>
        </w:rPr>
      </w:pPr>
      <w:r>
        <w:rPr>
          <w:rFonts w:hint="eastAsia" w:eastAsia="方正小标宋简体"/>
          <w:bCs/>
          <w:color w:val="FFFFFF" w:themeColor="background1"/>
          <w:spacing w:val="-20"/>
          <w:w w:val="50"/>
          <w:sz w:val="120"/>
          <w:szCs w:val="120"/>
          <w:lang w:eastAsia="zh-CN"/>
          <w14:textFill>
            <w14:solidFill>
              <w14:schemeClr w14:val="bg1"/>
            </w14:solidFill>
          </w14:textFill>
        </w:rPr>
        <w:t>沈丘县农业机械技术中心</w:t>
      </w:r>
      <w:r>
        <w:rPr>
          <w:rFonts w:eastAsia="方正小标宋简体"/>
          <w:bCs/>
          <w:color w:val="FFFFFF" w:themeColor="background1"/>
          <w:spacing w:val="-20"/>
          <w:w w:val="50"/>
          <w:sz w:val="120"/>
          <w:szCs w:val="120"/>
          <w14:textFill>
            <w14:solidFill>
              <w14:schemeClr w14:val="bg1"/>
            </w14:solidFill>
          </w14:textFill>
        </w:rPr>
        <w:t>文件</w:t>
      </w:r>
    </w:p>
    <w:p>
      <w:pPr>
        <w:jc w:val="center"/>
        <w:rPr>
          <w:rFonts w:eastAsia="仿宋"/>
          <w:color w:val="2F5496"/>
          <w:sz w:val="32"/>
          <w:szCs w:val="32"/>
        </w:rPr>
      </w:pPr>
    </w:p>
    <w:p>
      <w:pPr>
        <w:jc w:val="center"/>
        <w:rPr>
          <w:rFonts w:eastAsia="仿宋"/>
          <w:color w:val="2F5496"/>
          <w:sz w:val="32"/>
          <w:szCs w:val="32"/>
        </w:rPr>
      </w:pPr>
    </w:p>
    <w:p>
      <w:pPr>
        <w:jc w:val="center"/>
        <w:rPr>
          <w:rFonts w:hint="default" w:eastAsia="仿宋"/>
          <w:sz w:val="32"/>
          <w:szCs w:val="32"/>
          <w:lang w:val="en-US" w:eastAsia="zh-CN"/>
        </w:rPr>
      </w:pPr>
      <w:r>
        <w:rPr>
          <w:rFonts w:hint="eastAsia" w:eastAsia="仿宋"/>
          <w:sz w:val="32"/>
          <w:szCs w:val="32"/>
          <w:lang w:eastAsia="zh-CN"/>
        </w:rPr>
        <w:t>沈农机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32号</w:t>
      </w:r>
    </w:p>
    <w:p>
      <w:pPr>
        <w:jc w:val="center"/>
        <w:rPr>
          <w:b/>
          <w:color w:val="FF0000"/>
          <w:sz w:val="44"/>
          <w:szCs w:val="44"/>
        </w:rPr>
      </w:pPr>
      <w:r>
        <w:rPr>
          <w:b/>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41910</wp:posOffset>
                </wp:positionV>
                <wp:extent cx="5648325" cy="0"/>
                <wp:effectExtent l="0" t="12700" r="9525" b="15875"/>
                <wp:wrapNone/>
                <wp:docPr id="1" name="直接连接符 1"/>
                <wp:cNvGraphicFramePr/>
                <a:graphic xmlns:a="http://schemas.openxmlformats.org/drawingml/2006/main">
                  <a:graphicData uri="http://schemas.microsoft.com/office/word/2010/wordprocessingShape">
                    <wps:wsp>
                      <wps:cNvCnPr/>
                      <wps:spPr>
                        <a:xfrm flipV="1">
                          <a:off x="0" y="0"/>
                          <a:ext cx="5648325" cy="0"/>
                        </a:xfrm>
                        <a:prstGeom prst="line">
                          <a:avLst/>
                        </a:prstGeom>
                        <a:solidFill>
                          <a:schemeClr val="bg1"/>
                        </a:solidFill>
                        <a:ln w="25400"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3.3pt;height:0pt;width:444.75pt;z-index:251659264;mso-width-relative:page;mso-height-relative:page;" fillcolor="#FFFFFF [3212]" filled="t" stroked="t" coordsize="21600,21600" o:gfxdata="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wS6x9YAAAAFAQAADwAAAAAAAAABACAAAAAiAAAAZHJzL2Rv&#10;d25yZXYueG1sUEsBAhQAFAAAAAgAh07iQCf4AFcDAgAAIwQAAA4AAAAAAAAAAQAgAAAAJQEAAGRy&#10;cy9lMm9Eb2MueG1sUEsFBgAAAAAGAAYAWQEAAJoFAAAAAA==&#10;">
                <v:fill on="t" focussize="0,0"/>
                <v:stroke weight="2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沈丘县农业机械技术中心</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关于2023</w:t>
      </w:r>
      <w:r>
        <w:rPr>
          <w:rFonts w:hint="eastAsia" w:ascii="方正小标宋简体" w:hAnsi="方正小标宋简体" w:eastAsia="方正小标宋简体" w:cs="方正小标宋简体"/>
          <w:sz w:val="44"/>
          <w:szCs w:val="44"/>
        </w:rPr>
        <w:t>年度法治政府建设</w:t>
      </w:r>
      <w:r>
        <w:rPr>
          <w:rFonts w:hint="eastAsia" w:ascii="方正小标宋简体" w:hAnsi="方正小标宋简体" w:eastAsia="方正小标宋简体" w:cs="方正小标宋简体"/>
          <w:sz w:val="44"/>
          <w:szCs w:val="44"/>
          <w:lang w:eastAsia="zh-CN"/>
        </w:rPr>
        <w:t>情况的</w:t>
      </w:r>
      <w:r>
        <w:rPr>
          <w:rFonts w:hint="eastAsia" w:ascii="方正小标宋简体" w:hAnsi="方正小标宋简体" w:eastAsia="方正小标宋简体" w:cs="方正小标宋简体"/>
          <w:sz w:val="44"/>
          <w:szCs w:val="44"/>
        </w:rPr>
        <w:t>报告</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沈丘县人民政府：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以来，我中心坚持以习近平新时代中国特色社会主义思想为指导，深入学习宣传贯彻党的二十大精神以及习近平法治思想，围绕法治政府建设的决策部署，不断用法治力量助推农机化事业发展，现将法治政府建设工作报告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一、单位负责人履行推进法治建设第一责任人职责情况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将推动法治建设工作摆在重要位置，专题研究部署普法依法治理工作，切实履行“第一责任人”职责。一是强化组织领导。成立沈丘县农机中心法治政府建设工作领导小组，由中心主任担任组长，明确责任和任务，统筹推进中心法治政府建设工作。二是</w:t>
      </w:r>
      <w:r>
        <w:rPr>
          <w:rStyle w:val="5"/>
          <w:rFonts w:hint="eastAsia" w:ascii="仿宋" w:hAnsi="仿宋" w:eastAsia="仿宋" w:cs="仿宋"/>
          <w:sz w:val="32"/>
          <w:szCs w:val="32"/>
        </w:rPr>
        <w:t>认真贯彻落实党中央和省市</w:t>
      </w:r>
      <w:r>
        <w:rPr>
          <w:rStyle w:val="5"/>
          <w:rFonts w:hint="eastAsia" w:ascii="仿宋" w:hAnsi="仿宋" w:eastAsia="仿宋" w:cs="仿宋"/>
          <w:sz w:val="32"/>
          <w:szCs w:val="32"/>
          <w:lang w:eastAsia="zh-CN"/>
        </w:rPr>
        <w:t>县</w:t>
      </w:r>
      <w:r>
        <w:rPr>
          <w:rStyle w:val="5"/>
          <w:rFonts w:hint="eastAsia" w:ascii="仿宋" w:hAnsi="仿宋" w:eastAsia="仿宋" w:cs="仿宋"/>
          <w:sz w:val="32"/>
          <w:szCs w:val="32"/>
        </w:rPr>
        <w:t>委关于法治建设工作重大决策部署。</w:t>
      </w:r>
      <w:r>
        <w:rPr>
          <w:rFonts w:hint="eastAsia" w:ascii="仿宋" w:hAnsi="仿宋" w:eastAsia="仿宋" w:cs="仿宋"/>
          <w:sz w:val="32"/>
          <w:szCs w:val="32"/>
        </w:rPr>
        <w:t>制定</w:t>
      </w:r>
      <w:r>
        <w:rPr>
          <w:rFonts w:hint="eastAsia" w:ascii="仿宋" w:hAnsi="仿宋" w:eastAsia="仿宋" w:cs="仿宋"/>
          <w:sz w:val="32"/>
          <w:szCs w:val="32"/>
          <w:lang w:eastAsia="zh-CN"/>
        </w:rPr>
        <w:t>中心</w:t>
      </w:r>
      <w:r>
        <w:rPr>
          <w:rFonts w:hint="eastAsia" w:ascii="仿宋" w:hAnsi="仿宋" w:eastAsia="仿宋" w:cs="仿宋"/>
          <w:sz w:val="32"/>
          <w:szCs w:val="32"/>
        </w:rPr>
        <w:t>年度法治政府建设工作</w:t>
      </w:r>
      <w:r>
        <w:rPr>
          <w:rFonts w:hint="eastAsia" w:ascii="仿宋" w:hAnsi="仿宋" w:eastAsia="仿宋" w:cs="仿宋"/>
          <w:sz w:val="32"/>
          <w:szCs w:val="32"/>
          <w:lang w:eastAsia="zh-CN"/>
        </w:rPr>
        <w:t>计划</w:t>
      </w:r>
      <w:r>
        <w:rPr>
          <w:rFonts w:hint="eastAsia" w:ascii="仿宋" w:hAnsi="仿宋" w:eastAsia="仿宋" w:cs="仿宋"/>
          <w:sz w:val="32"/>
          <w:szCs w:val="32"/>
        </w:rPr>
        <w:t>，将法治建设工作与</w:t>
      </w:r>
      <w:r>
        <w:rPr>
          <w:rFonts w:hint="eastAsia" w:ascii="仿宋" w:hAnsi="仿宋" w:eastAsia="仿宋" w:cs="仿宋"/>
          <w:sz w:val="32"/>
          <w:szCs w:val="32"/>
          <w:lang w:eastAsia="zh-CN"/>
        </w:rPr>
        <w:t>农机化</w:t>
      </w:r>
      <w:r>
        <w:rPr>
          <w:rFonts w:hint="eastAsia" w:ascii="仿宋" w:hAnsi="仿宋" w:eastAsia="仿宋" w:cs="仿宋"/>
          <w:sz w:val="32"/>
          <w:szCs w:val="32"/>
        </w:rPr>
        <w:t>工作同部署、同检查、同落实。认真贯彻落实</w:t>
      </w:r>
      <w:r>
        <w:rPr>
          <w:rFonts w:hint="eastAsia" w:ascii="仿宋" w:hAnsi="仿宋" w:eastAsia="仿宋" w:cs="仿宋"/>
          <w:sz w:val="32"/>
          <w:szCs w:val="32"/>
          <w:lang w:eastAsia="zh-CN"/>
        </w:rPr>
        <w:t>县</w:t>
      </w:r>
      <w:r>
        <w:rPr>
          <w:rFonts w:hint="eastAsia" w:ascii="仿宋" w:hAnsi="仿宋" w:eastAsia="仿宋" w:cs="仿宋"/>
          <w:sz w:val="32"/>
          <w:szCs w:val="32"/>
        </w:rPr>
        <w:t>主要领导对法治建设批示精神，不断增强运用法治思维、法治方式</w:t>
      </w:r>
      <w:r>
        <w:rPr>
          <w:rFonts w:hint="eastAsia" w:ascii="仿宋" w:hAnsi="仿宋" w:eastAsia="仿宋" w:cs="仿宋"/>
          <w:sz w:val="32"/>
          <w:szCs w:val="32"/>
          <w:lang w:eastAsia="zh-CN"/>
        </w:rPr>
        <w:t>推动农机化事业发展</w:t>
      </w:r>
      <w:r>
        <w:rPr>
          <w:rFonts w:hint="eastAsia" w:ascii="仿宋" w:hAnsi="仿宋" w:eastAsia="仿宋" w:cs="仿宋"/>
          <w:sz w:val="32"/>
          <w:szCs w:val="32"/>
        </w:rPr>
        <w:t>的能力。</w:t>
      </w:r>
      <w:r>
        <w:rPr>
          <w:rFonts w:hint="eastAsia" w:ascii="仿宋" w:hAnsi="仿宋" w:eastAsia="仿宋" w:cs="仿宋"/>
          <w:sz w:val="32"/>
          <w:szCs w:val="32"/>
          <w:lang w:val="en-US" w:eastAsia="zh-CN"/>
        </w:rPr>
        <w:t>三是强化责任担当。坚持大事大抓，对法治建设重要工作亲自部署、重大问题亲自过问、重点环节亲自协调、重要任务亲自督办，层层压实责任。严格执行重大行政决策法定程序，重大事项决策、重要干部任免、大额资金使用等均通过班子会议集体讨论决定，推动实现民主决策、科学决策、依法决策。四是强化制度建设。进一步修改完善请销假、外出报备、上下班签到等各项管理制度，着力补齐制度短板、机制缺项，不断强化机关的制度化、规范化管理。五是强化机关管理。严格按照“三定”方案调整划分股室职能，优化人员配置，确保人岗相适，人事相宜，推动形成充满活力、务实高效、执行有力的运行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二、2023年度法治政府建设的主要举措和成效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（一）深入学习贯彻习近平法治思想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深入学习宣传贯彻习近平法治思想，发挥法治固根本、稳预期、利长远的保障作用。认真贯彻落实理论学习中心组学习制度，推进党史学习教育工作常态化。2023年以来，共组织召开12次理论学习中心组学习，开展集体研讨</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次，深入学习贯彻习近平新时代中国特色社会主义思想、学习习近平总书记重要讲话和重要指示精神等。充分利用“学习强国”平台、党课开讲啦平台开展自我学习。拓宽法治知识普及渠道，不断增强党员干部职工法治素养和法治意识，提升依法办事的能力，有力推进依法行政各项工作的顺利开展。</w:t>
      </w:r>
    </w:p>
    <w:p>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color w:val="000000"/>
          <w:kern w:val="0"/>
          <w:sz w:val="32"/>
          <w:szCs w:val="32"/>
          <w:lang w:val="en-US" w:eastAsia="zh-CN" w:bidi="ar"/>
        </w:rPr>
        <w:t>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1、完善依法行政制度和决策制度。</w:t>
      </w:r>
      <w:r>
        <w:rPr>
          <w:rFonts w:hint="eastAsia" w:ascii="仿宋" w:hAnsi="仿宋" w:eastAsia="仿宋" w:cs="仿宋"/>
          <w:sz w:val="32"/>
          <w:szCs w:val="32"/>
          <w:lang w:eastAsia="zh-CN"/>
        </w:rPr>
        <w:t>坚持以贯彻落实民主集中制推动班子领导力的提升，完善了《“三重一大”工作制度》，严格落实“三重一大”事项民主决策等有关规定。将民主集中制学习作为党总支中心组必学内容，规范组织召开民主生活会的各</w:t>
      </w:r>
      <w:bookmarkStart w:id="0" w:name="_GoBack"/>
      <w:r>
        <w:rPr>
          <w:rFonts w:hint="eastAsia" w:ascii="仿宋" w:hAnsi="仿宋" w:eastAsia="仿宋" w:cs="仿宋"/>
          <w:sz w:val="32"/>
          <w:szCs w:val="32"/>
          <w:lang w:eastAsia="zh-CN"/>
        </w:rPr>
        <w:t>项会议准备，规范建立了党总支决策制度，以制度的贯彻落实推</w:t>
      </w:r>
      <w:bookmarkEnd w:id="0"/>
      <w:r>
        <w:rPr>
          <w:rFonts w:hint="eastAsia" w:ascii="仿宋" w:hAnsi="仿宋" w:eastAsia="仿宋" w:cs="仿宋"/>
          <w:sz w:val="32"/>
          <w:szCs w:val="32"/>
          <w:lang w:eastAsia="zh-CN"/>
        </w:rPr>
        <w:t>动民主集中制落实党总支议事制度，做好议题酝酿、事先沟通、广泛调查、征求意见，召开会议时畅所欲言、充分讨论，提高决策的民主化、科学化水平。推进党内法规制度建设。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严格落实重大行政决策程序。</w:t>
      </w:r>
      <w:r>
        <w:rPr>
          <w:rFonts w:hint="eastAsia" w:ascii="仿宋" w:hAnsi="仿宋" w:eastAsia="仿宋" w:cs="仿宋"/>
          <w:sz w:val="32"/>
          <w:szCs w:val="32"/>
          <w:lang w:eastAsia="zh-CN"/>
        </w:rPr>
        <w:t>对照落实重大行政决策要求，认真开展专题调研、比对研究、征求意见等工作。202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年无重大行政决策。</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3、筑牢干部职工廉政风险防线。</w:t>
      </w:r>
      <w:r>
        <w:rPr>
          <w:rFonts w:hint="eastAsia" w:ascii="仿宋" w:hAnsi="仿宋" w:eastAsia="仿宋" w:cs="仿宋"/>
          <w:kern w:val="2"/>
          <w:sz w:val="32"/>
          <w:szCs w:val="32"/>
          <w:lang w:val="en-US" w:eastAsia="zh-CN" w:bidi="ar-SA"/>
        </w:rPr>
        <w:t>持续推进廉洁教育，组织全体干部职工集中观看廉政警示教育片，利用警示教育片及身边的典型案例教育引导党员干部提高认识，拒腐防变，切实做到防微杜渐、警钟长鸣、筑牢底线。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（三）</w:t>
      </w:r>
      <w:r>
        <w:rPr>
          <w:rFonts w:hint="eastAsia" w:ascii="楷体" w:hAnsi="楷体" w:eastAsia="楷体" w:cs="楷体"/>
          <w:color w:val="000000"/>
          <w:kern w:val="0"/>
          <w:sz w:val="32"/>
          <w:szCs w:val="32"/>
          <w:lang w:val="en-US" w:eastAsia="zh-CN" w:bidi="ar"/>
        </w:rPr>
        <w:t xml:space="preserve">加强党的领导，完善法治政府建设组织保障和落实 </w:t>
      </w:r>
    </w:p>
    <w:p>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健全组织，强化责任意识。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高度重视法治政府的建设工作，践行党总支在推行法治建设中的第一责任，建立由主任担任组长，副主任为副组长的领导小组，把法治建设工作纳入领导班子和领导干部年度工作目标和年度述职述廉报告，纳入各股室绩效目标考核中，从源头保障干部职工及单位法治建设稳步推进。坚持在领导小组的领导下，及时高效处理法治建设重大问题，推进重点任务落实到位。不断健全法治建设工作制度，切实做到法治建设工作领导到位、组织到位、人员到位、机制落实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加大普法宣传教育工作，全面提高法制意识。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lang w:eastAsia="zh-CN"/>
        </w:rPr>
        <w:t>利用党总支中心组理论学习会深入学习习近平法治思想，学习宣传习近平总书记关于宪法的重要论述。干部职工集中观看普法宣传视频，开展警示教育，牢记廉洁奉公，坚持原则，守好底线，树立正确的人生观、价值观、世界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lang w:eastAsia="zh-CN"/>
        </w:rPr>
        <w:t>结合学习宣传贯彻党的二十大精神，到农机专业合作社、农机企业等现场宣传。在开展送检下乡、农机购置补贴办理等过程中进行法律知识宣传普及，引导群众自觉养成办事依法、遇事找法、解决问题用法、化解矛盾靠法的法治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三是</w:t>
      </w:r>
      <w:r>
        <w:rPr>
          <w:rFonts w:hint="eastAsia" w:ascii="仿宋" w:hAnsi="仿宋" w:eastAsia="仿宋" w:cs="仿宋"/>
          <w:sz w:val="32"/>
          <w:szCs w:val="32"/>
          <w:lang w:eastAsia="zh-CN"/>
        </w:rPr>
        <w:t>组织开展县农机中心2023年“宪法宣传周”宣传活动，组织职工参加宪法知识考试活动。推动领导干部带头尊法学法守法用法，带头宣讲党的二十大精神，带头宣讲习近平法治思想，带头宣讲宪法，以宪法精神凝心聚力，坚定不移走中国特色社会主义法治道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四是</w:t>
      </w:r>
      <w:r>
        <w:rPr>
          <w:rFonts w:hint="eastAsia" w:ascii="仿宋" w:hAnsi="仿宋" w:eastAsia="仿宋" w:cs="仿宋"/>
          <w:sz w:val="32"/>
          <w:szCs w:val="32"/>
          <w:lang w:eastAsia="zh-CN"/>
        </w:rPr>
        <w:t>召集农机经销企业、服务网点负责人开展法律宣传教育会。告知农机经销企业涉嫌违法犯罪将依法移送司法机关处理。讲述农机购置补贴产品违规经营行为处理规范，提升产销企业依法办事的能力和意识。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五是</w:t>
      </w:r>
      <w:r>
        <w:rPr>
          <w:rFonts w:hint="eastAsia" w:ascii="仿宋" w:hAnsi="仿宋" w:eastAsia="仿宋" w:cs="仿宋"/>
          <w:sz w:val="32"/>
          <w:szCs w:val="32"/>
          <w:lang w:eastAsia="zh-CN"/>
        </w:rPr>
        <w:t>“12·4”国家宪法日期间悬挂宪法宣传标语。在广大干部职工中掀起尊崇宪法、学习宪法、遵守宪法、维护宪法的热潮，进一步弘扬宪法精神。大力加强宪法学习宣传，让宪法家喻户晓、深入人心，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二、存在的不足、</w:t>
      </w:r>
      <w:r>
        <w:rPr>
          <w:rFonts w:hint="eastAsia" w:ascii="黑体" w:hAnsi="黑体" w:eastAsia="黑体" w:cs="黑体"/>
          <w:sz w:val="32"/>
          <w:szCs w:val="32"/>
          <w:lang w:val="en-US" w:eastAsia="zh-CN"/>
        </w:rPr>
        <w:t>原因及整改情况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年我中心法治政府建设虽然取得了一定成绩，但工作中还存在一些不足。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存在的不足：部分人员</w:t>
      </w:r>
      <w:r>
        <w:rPr>
          <w:rFonts w:hint="eastAsia" w:ascii="仿宋" w:hAnsi="仿宋" w:eastAsia="仿宋" w:cs="仿宋"/>
          <w:sz w:val="32"/>
          <w:szCs w:val="32"/>
          <w:lang w:eastAsia="zh-CN"/>
        </w:rPr>
        <w:t>法律法规知识面不够广，不够全面。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原因是</w:t>
      </w:r>
      <w:r>
        <w:rPr>
          <w:rFonts w:hint="eastAsia" w:ascii="仿宋" w:hAnsi="仿宋" w:eastAsia="仿宋" w:cs="仿宋"/>
          <w:sz w:val="32"/>
          <w:szCs w:val="32"/>
          <w:lang w:eastAsia="zh-CN"/>
        </w:rPr>
        <w:t>个别职工对法治政府建设的重要性认识不到位,认为学习法律没有必要、浪费时间的现象时有发生。其次是一些干部职工注重农机领域的法律法规学习，而忽视了其他法律法规学习，因而法律法规知识面不够广，不够全面。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一是加强对职工的法治教育，提高了他们对法治政府建设重要性的认识。今年组织8次法律培训和学习活动，引导职工充分认识到学习法律的重要性和必要性，增强他们的法律意识和素养。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加大了对职工法律法规知识面的培训力度。我们不仅注重宪法、民法典和农机领域的法律法规学习，还涵盖了其他领域的法律法规，如刑法等。通过系统地学习不同领域的法律法规，使职工的法律知识面得到了更全面的扩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三是组织开展法律法规知识考试，以确保他们能够真正掌握和应用所学知识。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 下一年度推进法治政府建设的主要安排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1、深化领导干部法治建设理念。</w:t>
      </w:r>
      <w:r>
        <w:rPr>
          <w:rFonts w:hint="eastAsia" w:ascii="仿宋" w:hAnsi="仿宋" w:eastAsia="仿宋" w:cs="仿宋"/>
          <w:sz w:val="32"/>
          <w:szCs w:val="32"/>
          <w:lang w:eastAsia="zh-CN"/>
        </w:rPr>
        <w:t>以习近平新时代中国特色社会主义思想为指导，全面贯彻党的二十大精神，持续深入学习宣传贯彻习近平总书记全面依法治国新理念新思想新战略，加强法律法规、党章学习，不断提高党员干部职工依法治国、执政为民的观念，提高依法决策、依法办事和依法行政的能力。强化组织领导，健全工作机制，采取多种形式，及时公开政务信息，广泛接受社会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2、落实法治建设主体责任。</w:t>
      </w:r>
      <w:r>
        <w:rPr>
          <w:rFonts w:hint="eastAsia" w:ascii="仿宋" w:hAnsi="仿宋" w:eastAsia="仿宋" w:cs="仿宋"/>
          <w:sz w:val="32"/>
          <w:szCs w:val="32"/>
          <w:lang w:eastAsia="zh-CN"/>
        </w:rPr>
        <w:t>强化法治建设工作的落实。积极践行法治建设第一责任人的主体责任要求，严格落实我中心领导小组的工作职责，把法治建设、依法行政、法治宣传列入重要议事日程，纳入年度工作目标考核。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3、持续推进普法宣传工作。</w:t>
      </w:r>
      <w:r>
        <w:rPr>
          <w:rFonts w:hint="eastAsia" w:ascii="仿宋" w:hAnsi="仿宋" w:eastAsia="仿宋" w:cs="仿宋"/>
          <w:sz w:val="32"/>
          <w:szCs w:val="32"/>
          <w:lang w:eastAsia="zh-CN"/>
        </w:rPr>
        <w:t>充分利用国家安全教育日、国家宪法日积极组织开展集中普法活动，召开法治宣传会，积极结合“学习强国”APP进行干部群众自我学习法治建设学习，不断践行法治建设的新理念，新要求。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4、持续推进法治政府建设。</w:t>
      </w:r>
      <w:r>
        <w:rPr>
          <w:rFonts w:hint="eastAsia" w:ascii="仿宋" w:hAnsi="仿宋" w:eastAsia="仿宋" w:cs="仿宋"/>
          <w:sz w:val="32"/>
          <w:szCs w:val="32"/>
          <w:lang w:eastAsia="zh-CN"/>
        </w:rPr>
        <w:t xml:space="preserve">积极落实上级领导的责任部署要求，依法做好政务公开工作，做到公开透明，进一步提高依法科学民主决策水平，为我县法治建设添砖加瓦。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沈丘县农业机械技术中心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6CAD3F-6CC2-47A9-B036-CE7230CF8E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A14D3C72-A071-418D-BDB8-3FEC4A1E6D89}"/>
  </w:font>
  <w:font w:name="方正小标宋简体">
    <w:panose1 w:val="02000000000000000000"/>
    <w:charset w:val="86"/>
    <w:family w:val="auto"/>
    <w:pitch w:val="default"/>
    <w:sig w:usb0="A00002BF" w:usb1="184F6CFA" w:usb2="00000012" w:usb3="00000000" w:csb0="00040001" w:csb1="00000000"/>
    <w:embedRegular r:id="rId3" w:fontKey="{D7C41E00-5E92-4590-BB43-BDC1411C43E8}"/>
  </w:font>
  <w:font w:name="仿宋">
    <w:panose1 w:val="02010609060101010101"/>
    <w:charset w:val="86"/>
    <w:family w:val="auto"/>
    <w:pitch w:val="default"/>
    <w:sig w:usb0="800002BF" w:usb1="38CF7CFA" w:usb2="00000016" w:usb3="00000000" w:csb0="00040001" w:csb1="00000000"/>
    <w:embedRegular r:id="rId4" w:fontKey="{A0FE26B0-F138-4068-976C-A454053BB9FB}"/>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OGExODIyMGM4YmMyODAxYzY5ODNjZWY3YTJlODAifQ=="/>
  </w:docVars>
  <w:rsids>
    <w:rsidRoot w:val="6CD049E1"/>
    <w:rsid w:val="26A14410"/>
    <w:rsid w:val="2D18094C"/>
    <w:rsid w:val="317033BD"/>
    <w:rsid w:val="394A0419"/>
    <w:rsid w:val="3C7D20ED"/>
    <w:rsid w:val="44AA0C1F"/>
    <w:rsid w:val="4D745A9A"/>
    <w:rsid w:val="55482300"/>
    <w:rsid w:val="5C2A1E7F"/>
    <w:rsid w:val="6CD0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二级标题 字符"/>
    <w:basedOn w:val="4"/>
    <w:link w:val="6"/>
    <w:qFormat/>
    <w:uiPriority w:val="0"/>
    <w:rPr>
      <w:rFonts w:ascii="楷体" w:hAnsi="楷体" w:eastAsia="楷体"/>
    </w:rPr>
  </w:style>
  <w:style w:type="paragraph" w:customStyle="1" w:styleId="6">
    <w:name w:val="二级标题"/>
    <w:basedOn w:val="1"/>
    <w:link w:val="5"/>
    <w:qFormat/>
    <w:uiPriority w:val="0"/>
    <w:pPr>
      <w:ind w:firstLine="640"/>
    </w:pPr>
    <w:rPr>
      <w:rFonts w:ascii="楷体" w:hAnsi="楷体" w:eastAsia="楷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2023-09-14T07:35:00Z</dcterms:created>
  <dc:creator>木偶人</dc:creator>
  <cp:lastModifiedBy>木偶人</cp:lastModifiedBy>
  <cp:lastPrinted>2023-12-18T02:07:59Z</cp:lastPrinted>
  <dcterms:modified xsi:type="dcterms:W3CDTF">2023-12-18T03:30:22Z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1FD9DDED020B480BB671F1692EAA1291_13</vt:lpwstr>
  </property>
</Properties>
</file>