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atLeas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atLeas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atLeas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80" w:lineRule="atLeas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after="0" w:line="570" w:lineRule="atLeast"/>
        <w:ind w:right="0"/>
        <w:jc w:val="center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沈金服〔202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沈丘县金融服务中心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关于2023年度法治政府建设情况的报告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沈丘县人民政府：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在县委、县政府的坚强领导下，在县法治政府建设领导小组办公室的正确指导下，县金融服务中心按照《沈丘县法治政府建设领导小组关于印发&lt;沈丘县2023年度法治政府建设工作安排&gt;的通知》（沈法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〔2023〕1号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）等文件要求，立足金融工作实际，围绕县委、县政府中心工作，不断创新工作思路，改进工作方法，切实推进法治建设，提升依法行政能力，现将2023年度法治政府建设情况报告如下。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一、积极履行推进法治政府建设第一责任人职责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（一）深入学习贯彻习近平法治思想。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坚决落实主体责任，严格落实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“第一议题”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传达学习习近平总书记关于法治工作的重要论述，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认真研读《习近平谈治国理政》法治内容。将法治政府建设摆在工作全局的重要位置，充分发挥法治政府建设领导班子作用，研究部署法治政府建设、法治宣传等方面工作，并纳入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年度工作要点，加强督促检查和考核评价，积极主动向县委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县政府报告法治政府建设中的重大问题。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发挥“关键少数”带头示范作用。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主要负责人严格履行推进法治政府建设第一责任人职责，充分发挥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在推进法治政府建设中的领导核心作用，定期听取有关工作汇报，将法治政府建设纳入年度工作安排，与业务工作同部署、同推进、同落实；坚持民主集中制，严格执行重大行政决策法定程序，重大事项严格依照规定进行集体讨论决定，在充分调查研究、广泛征求多方意见的基础上做出决策。主要领导亲自研究部署和协调督办处非案件、地方法人金融机构风险处置，带领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干部自觉运用法治思维和法治方式深化改革、推动发展、化解矛盾、维护稳定。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加强对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班子成员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法治素养培养。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组织学习《民法典》《防范和处置非法集资条例》及金融方面法规政策，着力提高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干部依法行政能力。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二、法制政府建设的主要举措和成效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（一）依法履行政府职能。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按照中央、省、市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关于金融改革发展稳定的一系列决策部署，聚焦服务实体经济、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金融风险、深化金融改革三大任务，全力推进金融业高质量发展。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一是服务实体经济能质效持续提升。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优化信贷投放，完善主办银行机制，强化银企对接。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截止2023年12月末，中心举办银企对接会2场、金融工作座谈会1场。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二是资本市场改革发展成效显著。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完善资本市场奖补政策，推进落实企业上市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计划，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培育后备企业，开展企业上市。截至1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月末，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县域上市后备企业参加上市培训达13次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三是金融风险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防范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处置稳妥有序。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制定《2023年度防范和处置非法集资宣传月活动方案》，在全县集中开展了为期1个月的防范和处置非法集资宣传教育活动，制作展板23块，设立咨询台9个，发放《防范和处置非法集资宣传单》10万余份，张贴海报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1000多张。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（二）完善依法决策机制。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一是严格执行党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支部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会议制度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充分运用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会议等，研究、讨论、决定“三重一大”等事项。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是建立法律顾问制度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充分发挥法律顾问作用，为政策制定、行政执法提供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（三）加强行政权力监督。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一是落实政务公开。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坚持以公开为常态、不公开为例外，大力推进决策、执行、管理、服务和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公开，做到法定主动公开。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健全回应机制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对涉及群众切身利益、社会关注度高等重要政策和事件，通过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传统媒体和新兴媒体等方式，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及时发布权威信息，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关注、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回应群众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关心问题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二是自觉接受监督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配合纪检监察机关开展监督工作，主动接受社会和舆论监督，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政府督查工作。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三、存在的不足、原因和问题整改情况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atLeas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执法力量薄弱</w:t>
      </w:r>
      <w:r>
        <w:rPr>
          <w:rFonts w:hint="eastAsia" w:hAnsi="仿宋_GB2312" w:cs="仿宋_GB231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县金融服务中心不属于执法主体，不具有地方金融组织监管执法职责，无法办理监管执法证，执法人员不足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新一轮金融监管机构改革</w:t>
      </w:r>
      <w:r>
        <w:rPr>
          <w:rFonts w:hint="eastAsia" w:hAnsi="仿宋_GB2312" w:cs="仿宋_GB2312"/>
          <w:sz w:val="32"/>
          <w:szCs w:val="32"/>
          <w:lang w:val="en-US" w:eastAsia="zh-CN" w:bidi="ar-SA"/>
        </w:rPr>
        <w:t>已经开始，待我省改革实施职责划转到位后，积极做好金融监管执法工作。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四、下一年度法制政府建设的初步安排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（一）提升法治建设水平。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中心主要负责人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切实履行推进法治建设第一责任人职责，统筹推进法治建设工作，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定期组织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法律学习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，工作中牢固树立法治思维，为全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法治政府建设各项工作顺利开展提供有力组织保证。规范行政决策程序，营造尊法学法守法用法的良好氛围。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（二）提升依法行政水平。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在重大行政决策、规范性文件制定等方面全面加强法治建设，结合金融发展及金融监管实际组织开展金融法律知识专题培训，提高工作人员依法行政能力。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（三）提升金融服务水平。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大政策性金融争取力度，加强常态化银企合作，加大对重点领域、重大项目、重点企业、民营和中小微企业融资支持。紧盯资本市场改革机遇，加强源头培育、精准培育，分类分层推进企业上市。保持打击非法集资高压态势，强化地方金融组织监管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防范债券市场信用风险，守好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风险底线。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沈丘县金融服务中心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2023年12月15日</w:t>
      </w:r>
    </w:p>
    <w:sectPr>
      <w:footerReference r:id="rId5" w:type="default"/>
      <w:pgSz w:w="11906" w:h="16838"/>
      <w:pgMar w:top="2041" w:right="1531" w:bottom="2041" w:left="1531" w:header="708" w:footer="708" w:gutter="0"/>
      <w:pgNumType w:fmt="decimal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-459740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wSAcL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-370840</wp:posOffset>
              </wp:positionV>
              <wp:extent cx="929005" cy="728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00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pt;height:57.35pt;width:73.15pt;mso-position-horizontal:outside;mso-position-horizontal-relative:margin;z-index:251659264;mso-width-relative:page;mso-height-relative:page;" filled="f" stroked="f" coordsize="21600,21600" o:gfxdata="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FTsp/XAAAABwEAAA8AAAAAAAAAAQAgAAAAIgAAAGRycy9kb3ducmV2LnhtbFBLAQIU&#10;ABQAAAAIAIdO4kAWDOAauwEAAHE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Y2I3NDJlOGQzOGM0YjhjODA5YjY2YTI4NWJiNTIifQ=="/>
  </w:docVars>
  <w:rsids>
    <w:rsidRoot w:val="70DC2444"/>
    <w:rsid w:val="065344DE"/>
    <w:rsid w:val="0D22719E"/>
    <w:rsid w:val="13A26AA4"/>
    <w:rsid w:val="16810BF3"/>
    <w:rsid w:val="195E6FCA"/>
    <w:rsid w:val="2AD96DF8"/>
    <w:rsid w:val="2FD70C99"/>
    <w:rsid w:val="38CC1D4A"/>
    <w:rsid w:val="3CA54D8C"/>
    <w:rsid w:val="405A7C3B"/>
    <w:rsid w:val="433F5964"/>
    <w:rsid w:val="4C1E4213"/>
    <w:rsid w:val="542B571F"/>
    <w:rsid w:val="54843081"/>
    <w:rsid w:val="5EDF5A84"/>
    <w:rsid w:val="62744735"/>
    <w:rsid w:val="64B654D9"/>
    <w:rsid w:val="68DA4684"/>
    <w:rsid w:val="6F97452E"/>
    <w:rsid w:val="70DC2444"/>
    <w:rsid w:val="72192C03"/>
    <w:rsid w:val="72AC7F1B"/>
    <w:rsid w:val="730B2E93"/>
    <w:rsid w:val="785901FD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样式1"/>
    <w:basedOn w:val="1"/>
    <w:autoRedefine/>
    <w:qFormat/>
    <w:uiPriority w:val="0"/>
    <w:rPr>
      <w:b/>
      <w:color w:val="538135"/>
      <w:sz w:val="28"/>
    </w:rPr>
  </w:style>
  <w:style w:type="paragraph" w:styleId="4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2825</Words>
  <Characters>2859</Characters>
  <Lines>0</Lines>
  <Paragraphs>0</Paragraphs>
  <TotalTime>6</TotalTime>
  <ScaleCrop>false</ScaleCrop>
  <LinksUpToDate>false</LinksUpToDate>
  <CharactersWithSpaces>2860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2024-02-21T01:56:00Z</dcterms:created>
  <dc:creator>马海昌</dc:creator>
  <cp:lastModifiedBy>马海昌</cp:lastModifiedBy>
  <cp:lastPrinted>2024-02-22T07:59:39Z</cp:lastPrinted>
  <dcterms:modified xsi:type="dcterms:W3CDTF">2024-02-22T08:01:08Z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F685DE2C79CF4F43976FEC62579BE6DB_13</vt:lpwstr>
  </property>
</Properties>
</file>