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color w:val="auto"/>
          <w:sz w:val="32"/>
          <w:szCs w:val="32"/>
        </w:rPr>
      </w:pPr>
    </w:p>
    <w:p>
      <w:pPr>
        <w:spacing w:line="600" w:lineRule="exact"/>
        <w:jc w:val="center"/>
        <w:rPr>
          <w:rFonts w:hint="eastAsia" w:ascii="仿宋_GB2312" w:eastAsia="仿宋_GB2312"/>
          <w:color w:val="auto"/>
          <w:sz w:val="32"/>
          <w:szCs w:val="32"/>
        </w:rPr>
      </w:pPr>
    </w:p>
    <w:p>
      <w:pPr>
        <w:spacing w:line="600" w:lineRule="exact"/>
        <w:jc w:val="center"/>
        <w:rPr>
          <w:rFonts w:hint="eastAsia" w:ascii="仿宋_GB2312" w:eastAsia="仿宋_GB2312"/>
          <w:color w:val="auto"/>
          <w:sz w:val="32"/>
          <w:szCs w:val="32"/>
        </w:rPr>
      </w:pPr>
    </w:p>
    <w:p>
      <w:pPr>
        <w:spacing w:line="600" w:lineRule="exact"/>
        <w:jc w:val="center"/>
        <w:rPr>
          <w:rFonts w:hint="eastAsia" w:ascii="仿宋_GB2312" w:eastAsia="仿宋_GB2312"/>
          <w:color w:val="auto"/>
          <w:sz w:val="32"/>
          <w:szCs w:val="32"/>
        </w:rPr>
      </w:pPr>
      <w:bookmarkStart w:id="0" w:name="_GoBack"/>
      <w:bookmarkEnd w:id="0"/>
    </w:p>
    <w:p>
      <w:pPr>
        <w:pStyle w:val="7"/>
        <w:rPr>
          <w:rFonts w:hint="eastAsia"/>
        </w:rPr>
      </w:pPr>
    </w:p>
    <w:p>
      <w:pPr>
        <w:spacing w:line="8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沈工信</w:t>
      </w:r>
      <w:r>
        <w:rPr>
          <w:rFonts w:hint="eastAsia" w:ascii="仿宋" w:hAnsi="仿宋" w:eastAsia="仿宋" w:cs="仿宋"/>
          <w:color w:val="auto"/>
          <w:sz w:val="32"/>
          <w:szCs w:val="32"/>
          <w:lang w:val="en-US" w:eastAsia="zh-CN"/>
        </w:rPr>
        <w:t>字</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105</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沈丘县工信局</w:t>
      </w:r>
      <w:r>
        <w:rPr>
          <w:rFonts w:hint="eastAsia" w:ascii="方正小标宋简体" w:hAnsi="方正小标宋简体" w:eastAsia="方正小标宋简体" w:cs="方正小标宋简体"/>
          <w:b w:val="0"/>
          <w:bCs w:val="0"/>
          <w:sz w:val="44"/>
          <w:szCs w:val="44"/>
          <w:lang w:val="en-US" w:eastAsia="zh-CN"/>
        </w:rPr>
        <w:t>关于2023年度</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法治</w:t>
      </w:r>
      <w:r>
        <w:rPr>
          <w:rFonts w:hint="eastAsia" w:ascii="方正小标宋简体" w:hAnsi="方正小标宋简体" w:eastAsia="方正小标宋简体" w:cs="方正小标宋简体"/>
          <w:b w:val="0"/>
          <w:bCs w:val="0"/>
          <w:sz w:val="44"/>
          <w:szCs w:val="44"/>
          <w:lang w:val="en-US" w:eastAsia="zh-CN"/>
        </w:rPr>
        <w:t>政府</w:t>
      </w:r>
      <w:r>
        <w:rPr>
          <w:rFonts w:hint="eastAsia" w:ascii="方正小标宋简体" w:hAnsi="方正小标宋简体" w:eastAsia="方正小标宋简体" w:cs="方正小标宋简体"/>
          <w:b w:val="0"/>
          <w:bCs w:val="0"/>
          <w:sz w:val="44"/>
          <w:szCs w:val="44"/>
          <w:lang w:eastAsia="zh-CN"/>
        </w:rPr>
        <w:t>建设</w:t>
      </w:r>
      <w:r>
        <w:rPr>
          <w:rFonts w:hint="eastAsia" w:ascii="方正小标宋简体" w:hAnsi="方正小标宋简体" w:eastAsia="方正小标宋简体" w:cs="方正小标宋简体"/>
          <w:b w:val="0"/>
          <w:bCs w:val="0"/>
          <w:sz w:val="44"/>
          <w:szCs w:val="44"/>
          <w:lang w:val="en-US" w:eastAsia="zh-CN"/>
        </w:rPr>
        <w:t>情况的工作报告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以来，县工信局在县委、政府及依法治县工作领导小组的领导下，在上级业务部门的指导下，认真贯彻落实法治政府建设工作，深入推进依法行政各项工作。现将今年深入开展法治政府建设工作情况汇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一、单位负责人履行推进法制建设第一责任人职责情况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健全领导体制机制。为全面深入推进治政府工作，成立了以局长为组长，分管副局长、党组成员为副组长，各股室主要负责同志为成员的县工信局推进法治政府建设领导小组，有计划推进法治政府工作。工信局高度重视，将法治政府建设工作纳入本部门年度工作计划，结合工信局的实际，制定了推进法治政府工作实施计划，做到年初有计划，季度有督查，半年有自查，年终有总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第一责任人带头学法、模范用法。一是局主要领导带头学法、模范用法，全局党员干部法治观念、依法行政的意识显著提升。二是深入贯彻落实提出的“领导干部要做普法学法用法的模范”讲话精神，以身作则。三是把法治建设纳入本单位发展规划和年度工作计划，对重大工作亲自部署，重大问题亲自过问，重点环节亲自督办。四是定期听取法治建设工作情况汇报，及时研究解决相关重大问题，真正把第一责任人职责履行好，落实好，充分发挥引领示范作用，自觉为全局做表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新宋体"/>
          <w:b/>
          <w:bCs/>
          <w:sz w:val="32"/>
          <w:szCs w:val="32"/>
          <w:lang w:val="en-US" w:eastAsia="zh-CN"/>
        </w:rPr>
      </w:pPr>
      <w:r>
        <w:rPr>
          <w:rFonts w:hint="eastAsia" w:ascii="黑体" w:hAnsi="黑体" w:eastAsia="黑体" w:cs="黑体"/>
          <w:b w:val="0"/>
          <w:bCs w:val="0"/>
          <w:sz w:val="32"/>
          <w:szCs w:val="32"/>
          <w:lang w:val="en-US" w:eastAsia="zh-CN"/>
        </w:rPr>
        <w:t>二、推进法治政府工作的主要措施和成效</w:t>
      </w:r>
    </w:p>
    <w:p>
      <w:pPr>
        <w:pStyle w:val="4"/>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仿宋" w:hAnsi="仿宋" w:eastAsia="仿宋" w:cs="仿宋"/>
          <w:kern w:val="2"/>
          <w:sz w:val="32"/>
          <w:szCs w:val="32"/>
          <w:lang w:val="en-US" w:eastAsia="zh-CN" w:bidi="ar-SA"/>
        </w:rPr>
      </w:pPr>
      <w:r>
        <w:rPr>
          <w:rFonts w:hint="eastAsia" w:ascii="楷体" w:hAnsi="楷体" w:eastAsia="楷体" w:cs="楷体"/>
          <w:b/>
          <w:bCs/>
          <w:sz w:val="32"/>
          <w:szCs w:val="32"/>
          <w:lang w:val="en-US" w:eastAsia="zh-CN"/>
        </w:rPr>
        <w:t>（一）</w:t>
      </w:r>
      <w:r>
        <w:rPr>
          <w:rFonts w:hint="eastAsia" w:ascii="楷体_GB2312" w:hAnsi="楷体_GB2312" w:eastAsia="楷体_GB2312"/>
          <w:spacing w:val="20"/>
        </w:rPr>
        <w:t>深入学习贯彻习近平法治思想</w:t>
      </w:r>
      <w:r>
        <w:rPr>
          <w:rFonts w:hint="eastAsia" w:ascii="楷体_GB2312" w:hAnsi="楷体_GB2312" w:eastAsia="楷体_GB2312"/>
          <w:spacing w:val="20"/>
          <w:lang w:eastAsia="zh-CN"/>
        </w:rPr>
        <w:t>。</w:t>
      </w:r>
      <w:r>
        <w:rPr>
          <w:rFonts w:hint="eastAsia" w:ascii="仿宋" w:hAnsi="仿宋" w:eastAsia="仿宋" w:cs="仿宋"/>
          <w:kern w:val="2"/>
          <w:sz w:val="32"/>
          <w:szCs w:val="32"/>
          <w:lang w:val="en-US" w:eastAsia="zh-CN" w:bidi="ar-SA"/>
        </w:rPr>
        <w:t xml:space="preserve">坚持以习近平法治思想为推进法治政府建设的根本遵循和行动指南不动摇。把深入学习贯彻习近平法治思想 作为重要政治任务,深刻领会蕴含其中的科学内涵、精神实质、实践要求,准确把握贯穿其中的马克思主义立场、观点和方法, 切实提高政治判断力、政治领悟力、政治执行力,增强“四个意识”、坚定“四个自信”、做到“两个维护”,真正把这一重要思想转化为法治政府建设的强大动力和生动实践。  </w:t>
      </w:r>
    </w:p>
    <w:p>
      <w:pPr>
        <w:pStyle w:val="4"/>
        <w:keepNext w:val="0"/>
        <w:keepLines w:val="0"/>
        <w:pageBreakBefore w:val="0"/>
        <w:widowControl w:val="0"/>
        <w:kinsoku/>
        <w:wordWrap/>
        <w:overflowPunct/>
        <w:topLinePunct w:val="0"/>
        <w:autoSpaceDE/>
        <w:autoSpaceDN/>
        <w:bidi w:val="0"/>
        <w:adjustRightInd/>
        <w:snapToGrid/>
        <w:spacing w:line="600" w:lineRule="exact"/>
        <w:ind w:firstLine="512" w:firstLineChars="160"/>
        <w:textAlignment w:val="auto"/>
        <w:rPr>
          <w:rFonts w:hint="eastAsia" w:ascii="仿宋" w:hAnsi="仿宋" w:eastAsia="仿宋" w:cs="仿宋"/>
          <w:kern w:val="2"/>
          <w:sz w:val="32"/>
          <w:szCs w:val="32"/>
          <w:lang w:val="en-US" w:eastAsia="zh-CN" w:bidi="ar-SA"/>
        </w:rPr>
      </w:pPr>
      <w:r>
        <w:rPr>
          <w:rFonts w:hint="eastAsia" w:ascii="楷体_GB2312" w:eastAsia="楷体_GB2312"/>
        </w:rPr>
        <w:t>（二）强化习近平法治思想学习培训。</w:t>
      </w:r>
      <w:r>
        <w:rPr>
          <w:rFonts w:hint="eastAsia" w:ascii="仿宋" w:hAnsi="仿宋" w:eastAsia="仿宋" w:cs="仿宋"/>
          <w:kern w:val="2"/>
          <w:sz w:val="32"/>
          <w:szCs w:val="32"/>
          <w:lang w:val="en-US" w:eastAsia="zh-CN" w:bidi="ar-SA"/>
        </w:rPr>
        <w:t>各股室将习近平法治思想作为学习党的二十大精神的重要内容,严格落实“第 一议题”制度,纳入理论学习中心组学习计划。严格落实领导 干部学法制度,建立领导干部应知应会学法用法清单,将习近平法治思想纳入领导干部学法计划。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 w:firstLineChars="160"/>
        <w:textAlignment w:val="auto"/>
        <w:rPr>
          <w:rFonts w:hint="eastAsia" w:ascii="仿宋" w:hAnsi="仿宋" w:eastAsia="仿宋" w:cs="仿宋"/>
          <w:sz w:val="32"/>
          <w:szCs w:val="32"/>
          <w:lang w:val="en-US" w:eastAsia="zh-CN"/>
        </w:rPr>
      </w:pPr>
      <w:r>
        <w:rPr>
          <w:rFonts w:hint="eastAsia" w:ascii="楷体_GB2312" w:hAnsi="仿宋_GB2312" w:eastAsia="楷体_GB2312" w:cs="仿宋_GB2312"/>
          <w:kern w:val="2"/>
          <w:sz w:val="32"/>
          <w:szCs w:val="32"/>
          <w:lang w:val="en-US" w:eastAsia="zh-CN" w:bidi="zh-CN"/>
        </w:rPr>
        <w:t>（三）完善研究宣传机制。</w:t>
      </w:r>
      <w:r>
        <w:rPr>
          <w:rFonts w:hint="eastAsia" w:ascii="仿宋" w:hAnsi="仿宋" w:eastAsia="仿宋" w:cs="仿宋"/>
          <w:sz w:val="32"/>
          <w:szCs w:val="32"/>
          <w:lang w:val="en-US" w:eastAsia="zh-CN"/>
        </w:rPr>
        <w:t>切实加强法治宣传教育。通过局党小组会，学习例会等形式，深入开展《公务员法》、《中小企业促进法》、《企业安全生产管理办法》等与工业经济发展和群众生产生活密切相关的法律法规的学习宣传，并认真学习贯彻《全面推进依法行政实施纲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1、重点开展专项义务培训。建立“谁执法谁普法”机制，进行日常法律宣传、集中宣传，同时将工作与普法宣传紧密结合，在机关营造浓厚的法治氛围。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2、认真做好依法行政保障工作。根据依法行政任务的轻重，充实重要岗位的依法行政人员力量，为工信依法行政创造良好的工作条件。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3、积极开展“普法”活动。制定了“法律进机关、进企业”宣传月活动实施方案，逐步增强法治观念，深入企业开展法律宣传及“法律大讲堂”活动，将“法治读物”送进企业、送到企业职工手中。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4、积极报送依法治理信息。确保把身边的法治事件及时、准确上报，基本完成信息上报质量、数量要求。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12" w:firstLineChars="160"/>
        <w:textAlignment w:val="auto"/>
        <w:rPr>
          <w:rFonts w:hint="eastAsia" w:ascii="楷体_GB2312" w:hAnsi="仿宋_GB2312" w:eastAsia="楷体_GB2312" w:cs="仿宋_GB2312"/>
          <w:kern w:val="2"/>
          <w:sz w:val="32"/>
          <w:szCs w:val="32"/>
          <w:lang w:val="en-US" w:eastAsia="zh-CN" w:bidi="zh-CN"/>
        </w:rPr>
      </w:pPr>
      <w:r>
        <w:rPr>
          <w:rFonts w:hint="eastAsia" w:ascii="楷体_GB2312" w:hAnsi="仿宋_GB2312" w:eastAsia="楷体_GB2312" w:cs="仿宋_GB2312"/>
          <w:kern w:val="2"/>
          <w:sz w:val="32"/>
          <w:szCs w:val="32"/>
          <w:lang w:val="en-US" w:eastAsia="zh-CN" w:bidi="zh-CN"/>
        </w:rPr>
        <w:t>（四）健全责任机制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1、科学调研制度。高度重视决策前的调查研究，年初结合工作实际，紧扣发展目标确定矛盾纠纷排查，调处等重要课题，组织相关股室深入企业及机关单位开展调查研究。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2、完善工作制度。坚持行政措施和规范性文件制度的事先广泛征求意见、组织论证听证和领导集体决策制度，进一步完善了工作机制。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3、建立社会征信体系。建立健全行业自律机制，强化</w:t>
      </w:r>
      <w:r>
        <w:rPr>
          <w:rFonts w:hint="eastAsia" w:ascii="仿宋" w:hAnsi="仿宋" w:eastAsia="仿宋" w:cs="仿宋"/>
          <w:spacing w:val="-6"/>
          <w:sz w:val="32"/>
          <w:szCs w:val="32"/>
          <w:lang w:val="en-US" w:eastAsia="zh-CN"/>
        </w:rPr>
        <w:t>风险防范，及时处理网络信息，树立网络大舆情媒体良好格局。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仿宋_GB2312" w:eastAsia="楷体_GB2312" w:cs="仿宋_GB2312"/>
          <w:kern w:val="2"/>
          <w:sz w:val="32"/>
          <w:szCs w:val="32"/>
          <w:lang w:val="en-US" w:eastAsia="zh-CN" w:bidi="zh-CN"/>
        </w:rPr>
      </w:pPr>
      <w:r>
        <w:rPr>
          <w:rFonts w:hint="eastAsia" w:ascii="楷体_GB2312" w:hAnsi="仿宋_GB2312" w:eastAsia="楷体_GB2312" w:cs="仿宋_GB2312"/>
          <w:kern w:val="2"/>
          <w:sz w:val="32"/>
          <w:szCs w:val="32"/>
          <w:lang w:val="en-US" w:eastAsia="zh-CN" w:bidi="zh-CN"/>
        </w:rPr>
        <w:t>（五）加强行政规范性文件制定监督管理。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1、注重规范性文件的实用性。将规章制度印编成册，成为管理体系的一部分。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2、实行文件的法核制度。文件签发前均由分管领导审核把关，不符合法律或上级规定的退回修改，保证文件的合法性。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3、坚持文件的备案审查制度。建立合理规范的档案资料立卷归档制度，全面真实反映工作状况，一直以来对已的规范性文件在局办公室进行了备案审查登记及存档。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 w:firstLineChars="160"/>
        <w:textAlignment w:val="auto"/>
        <w:rPr>
          <w:rFonts w:hint="eastAsia" w:ascii="楷体_GB2312" w:hAnsi="仿宋_GB2312" w:eastAsia="楷体_GB2312" w:cs="仿宋_GB2312"/>
          <w:kern w:val="2"/>
          <w:sz w:val="32"/>
          <w:szCs w:val="32"/>
          <w:lang w:val="en-US" w:eastAsia="zh-CN" w:bidi="zh-CN"/>
        </w:rPr>
      </w:pPr>
      <w:r>
        <w:rPr>
          <w:rFonts w:hint="eastAsia" w:ascii="楷体_GB2312" w:hAnsi="仿宋_GB2312" w:eastAsia="楷体_GB2312" w:cs="仿宋_GB2312"/>
          <w:kern w:val="2"/>
          <w:sz w:val="32"/>
          <w:szCs w:val="32"/>
          <w:lang w:val="en-US" w:eastAsia="zh-CN" w:bidi="zh-CN"/>
        </w:rPr>
        <w:t>（六）持续优化法治化营商环境。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1、今年以来，县四个班子领导，助企服务组在“企业服务日”深入企业一线调研，做好政策宣讲、问题收集、台账建立、诉求化解。今年共收集县级问题120件，化解率100%。 </w:t>
      </w:r>
      <w:r>
        <w:rPr>
          <w:rFonts w:hint="default" w:ascii="仿宋" w:hAnsi="仿宋" w:eastAsia="仿宋" w:cs="仿宋"/>
          <w:sz w:val="32"/>
          <w:szCs w:val="32"/>
          <w:lang w:val="en-US" w:eastAsia="zh-CN"/>
        </w:rPr>
        <w:t>建立“十天一推进、半月一通报、每月一点评、每季一观摩”定期研判机制，每月5号、15号、25号召开推进会议，及时解决企业（项目）建设、土地、用工、资金、审批等问题。实行“13710”工作落实机制，对于推进会议上研究确定的事项，要求当天要研究部署；3天内要向指挥部反馈办理情况；重大问题包括一些复杂问题1个月内落实解决。实行干部激励机制。按照“火线特选、一线优选、量化比选”干部任用原则，将项目建设、“万人助万企”、城市建设管理全县重点工作推进与选人用人结合起来，抓人促事。截至目前，累计从项目建设、“万人助万企”一线提拔重用科级干部8人，做到不是“谁该用”，而是“该用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惠企政策及招商引资政策拖欠清理情况。县委、县政府主要领导高度重视清欠工作，多次做出重要批示，要求各乡镇（办）、各部门提高政治站位，加快清欠进度，加快解决拖欠民营企业中小企业账款问题，为民营企业、中小企业营造更好的发展环境。一是出台了：支持工业经济高质量发展的十条意见，大大激励了沈丘县工业企业的发展；二是为企业清欠资金，为企业兑现政策性资金1084万元，其中惠企政策兑现719万，已全部兑现，为企业发展提供资金支持。三是积极为企业争取项目资金，2023年以来，为惠佳农业争取省级创新引导计划专项资金40万元；为翔普农业争取省级现代科普示范基地专项资金10万元；为雪荣面粉争取省级“新一代信息技术融合应用模式示范”项目奖补资金50万元；为10家高新技术企业争取奖补资金100万元；为满负荷生产的7家企业争取省级奖补资金45万元；为开发区争取省级创新生态专项资金36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b/>
          <w:bCs/>
          <w:sz w:val="32"/>
          <w:szCs w:val="32"/>
          <w:lang w:val="en-US" w:eastAsia="zh-CN"/>
        </w:rPr>
      </w:pPr>
      <w:r>
        <w:rPr>
          <w:rFonts w:hint="eastAsia" w:ascii="楷体_GB2312" w:hAnsi="仿宋_GB2312" w:eastAsia="楷体_GB2312" w:cs="仿宋_GB2312"/>
          <w:kern w:val="2"/>
          <w:sz w:val="32"/>
          <w:szCs w:val="32"/>
          <w:lang w:val="en-US" w:eastAsia="zh-CN" w:bidi="zh-CN"/>
        </w:rPr>
        <w:t>（七）制度规范促行动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1、严格落实依法行政责任制。切实抓好依法行政依据梳理和依法行政职权的层层分解，做到了岗位到人、责任到人，进一步明确了依法行政机关的目标和责任，规范了依法行政行为，制定了详细的流程图。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2、全面规范依法行政自由裁量权。有效防止了全力的滥用，减少了依法行政的随意性，提高了公信力。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3、及时协调、解决重点领域、重点区域矛盾纠纷，及时排查、调解、化解信访突出问题，坚决把留在本部门解决，不让其扩大化，避免了因矛盾纠纷、信访积案等调解化解不及时引发群众性事件及上访事件。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三、工作存在不足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工信局推进法治政府工作虽取得了一定的实效，但与县委、政府的要求还有一定的距离，主要：一是重大决策前听取民意不够；二是依法行政力度还需进一步加大；三是全体工信工作人员的法治教育还需进一步深化；四是依法治理监督工作还需要加强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四、下一步工作打算</w:t>
      </w:r>
    </w:p>
    <w:p>
      <w:pPr>
        <w:bidi w:val="0"/>
        <w:jc w:val="left"/>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 w:firstLineChars="1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（一）强化重大决策前的审查机制。建立重大事项决策前的公众参与、法律咨询、专家论证机制，充分发挥公众的参谋助手和法律顾问作用，兼顾工作实际与依法行政的统一。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 w:firstLineChars="1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完善行政监督制度、强化对行政行为的监督。一是建立重大事项的监督机制，抓好重点领域的检查和专项治理，维护工信工作秩序和人民群众的合法权益，建立重大事项的公开报道和案件回访机制。二是形成依法行政案卷的标准化审查模式，全面审查依法行政案卷的立法、取证、调查、</w:t>
      </w:r>
      <w:r>
        <w:rPr>
          <w:rFonts w:hint="eastAsia" w:ascii="仿宋" w:hAnsi="仿宋" w:eastAsia="仿宋" w:cs="仿宋"/>
          <w:spacing w:val="-6"/>
          <w:sz w:val="32"/>
          <w:szCs w:val="32"/>
          <w:lang w:val="en-US" w:eastAsia="zh-CN"/>
        </w:rPr>
        <w:t>审批、送达等环节，督促相关股室及时整改检查中发现的问题。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 w:firstLineChars="1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综治信访维稳工作，维护社会和谐稳定。健全和完善预测预警机制，排查调处机制、应急处置机制、责任追究机制，综合运用协商和解，调解、仲裁、诉讼等多种方式和手段，构建以人民调解为基础，诉讼调解为主导、行政调解为补充、司法审判作保障的体系，不断完善司法调解，人民调解和行政调解相衔接的大调解格局。切实解决人民群众合法利益诉求，确保稳定的发展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 w:firstLineChars="1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坚持依法行政、大力推进法治政府建设。全力推进阳光政务，健全和规范电子政务建设，完善工信网站功能，依法、全面、真是、便民、及时公开应公开的内容，方便群众办事和监督；加快推进“一站式”网上行政审批服务系统的推广应用，积极推进网上审批和政务处理，积极推行行政权利网上公开透明运行，实现政府部门信息互联互通和资源共享，加快建设法治政府进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8"/>
          <w:sz w:val="32"/>
          <w:szCs w:val="32"/>
          <w:lang w:val="en-US" w:eastAsia="zh-CN"/>
        </w:rPr>
      </w:pPr>
      <w:r>
        <w:rPr>
          <w:rFonts w:hint="eastAsia" w:ascii="仿宋" w:hAnsi="仿宋" w:eastAsia="仿宋" w:cs="仿宋"/>
          <w:sz w:val="32"/>
          <w:szCs w:val="32"/>
          <w:lang w:val="en-US" w:eastAsia="zh-CN"/>
        </w:rPr>
        <w:t>总之，县工信局在推进法治政府工作方面，</w:t>
      </w:r>
      <w:r>
        <w:rPr>
          <w:rFonts w:hint="eastAsia" w:ascii="仿宋" w:hAnsi="仿宋" w:eastAsia="仿宋" w:cs="仿宋"/>
          <w:spacing w:val="8"/>
          <w:sz w:val="32"/>
          <w:szCs w:val="32"/>
        </w:rPr>
        <w:t>紧紧扭住发展第一要务，立足新发展阶段、贯彻新发展理念、融入新发展格局，把准方向、扛牢责任，</w:t>
      </w:r>
      <w:r>
        <w:rPr>
          <w:rFonts w:hint="eastAsia" w:ascii="仿宋" w:hAnsi="仿宋" w:eastAsia="仿宋" w:cs="仿宋"/>
          <w:spacing w:val="8"/>
          <w:sz w:val="32"/>
          <w:szCs w:val="32"/>
          <w:lang w:eastAsia="zh-CN"/>
        </w:rPr>
        <w:t>积极推进</w:t>
      </w:r>
      <w:r>
        <w:rPr>
          <w:rFonts w:hint="eastAsia" w:ascii="仿宋" w:hAnsi="仿宋" w:eastAsia="仿宋" w:cs="仿宋"/>
          <w:spacing w:val="8"/>
          <w:sz w:val="32"/>
          <w:szCs w:val="32"/>
        </w:rPr>
        <w:t>、奋勇争先，为建设“美丽大花园、幸福新沈丘”而努力奋</w:t>
      </w:r>
      <w:r>
        <w:rPr>
          <w:rFonts w:hint="eastAsia" w:ascii="仿宋" w:hAnsi="仿宋" w:eastAsia="仿宋" w:cs="仿宋"/>
          <w:spacing w:val="8"/>
          <w:sz w:val="32"/>
          <w:szCs w:val="32"/>
          <w:lang w:val="en-US" w:eastAsia="zh-CN"/>
        </w:rPr>
        <w:t>斗。</w:t>
      </w:r>
    </w:p>
    <w:p>
      <w:pPr>
        <w:pStyle w:val="2"/>
        <w:rPr>
          <w:rFonts w:hint="eastAsia" w:ascii="仿宋" w:hAnsi="仿宋" w:eastAsia="仿宋" w:cs="仿宋"/>
          <w:spacing w:val="8"/>
          <w:sz w:val="32"/>
          <w:szCs w:val="32"/>
          <w:lang w:val="en-US" w:eastAsia="zh-CN"/>
        </w:rPr>
      </w:pPr>
    </w:p>
    <w:p>
      <w:pPr>
        <w:rPr>
          <w:rFonts w:hint="eastAsia" w:ascii="仿宋" w:hAnsi="仿宋" w:eastAsia="仿宋" w:cs="仿宋"/>
          <w:spacing w:val="8"/>
          <w:sz w:val="32"/>
          <w:szCs w:val="32"/>
          <w:lang w:val="en-US" w:eastAsia="zh-CN"/>
        </w:rPr>
      </w:pPr>
    </w:p>
    <w:p>
      <w:pPr>
        <w:pStyle w:val="2"/>
        <w:rPr>
          <w:rFonts w:hint="eastAsia" w:ascii="仿宋" w:hAnsi="仿宋" w:eastAsia="仿宋" w:cs="仿宋"/>
          <w:spacing w:val="8"/>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12" w:firstLineChars="1700"/>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沈丘县工信局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5376" w:firstLineChars="1600"/>
        <w:textAlignment w:val="auto"/>
        <w:rPr>
          <w:rFonts w:hint="default" w:ascii="仿宋" w:hAnsi="仿宋" w:eastAsia="仿宋" w:cs="仿宋"/>
          <w:sz w:val="32"/>
          <w:szCs w:val="32"/>
          <w:lang w:val="en-US" w:eastAsia="zh-CN"/>
        </w:rPr>
      </w:pPr>
      <w:r>
        <w:rPr>
          <w:rFonts w:hint="eastAsia" w:ascii="仿宋" w:hAnsi="仿宋" w:eastAsia="仿宋" w:cs="仿宋"/>
          <w:spacing w:val="8"/>
          <w:sz w:val="32"/>
          <w:szCs w:val="32"/>
          <w:lang w:val="en-US" w:eastAsia="zh-CN"/>
        </w:rPr>
        <w:t xml:space="preserve">2023年12月15日 </w:t>
      </w:r>
    </w:p>
    <w:sectPr>
      <w:footerReference r:id="rId3" w:type="default"/>
      <w:pgSz w:w="11906" w:h="16838"/>
      <w:pgMar w:top="2098" w:right="1417" w:bottom="1984" w:left="164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書體坊顏體㊣">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- 10 -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- 10 -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jAwZTEyY2M5YzQ5NTQ1OGQxODM2NDBjNjZlZGQifQ=="/>
  </w:docVars>
  <w:rsids>
    <w:rsidRoot w:val="50875690"/>
    <w:rsid w:val="00FA5E2A"/>
    <w:rsid w:val="028E4F47"/>
    <w:rsid w:val="038718D2"/>
    <w:rsid w:val="04575C41"/>
    <w:rsid w:val="09AF5ECF"/>
    <w:rsid w:val="0CF7474D"/>
    <w:rsid w:val="13421B9E"/>
    <w:rsid w:val="13CA3CE6"/>
    <w:rsid w:val="14D30D88"/>
    <w:rsid w:val="157D4DFA"/>
    <w:rsid w:val="18203636"/>
    <w:rsid w:val="18293D0E"/>
    <w:rsid w:val="1E460C90"/>
    <w:rsid w:val="22370B39"/>
    <w:rsid w:val="22A623C6"/>
    <w:rsid w:val="246A068B"/>
    <w:rsid w:val="28BC55C7"/>
    <w:rsid w:val="2989771D"/>
    <w:rsid w:val="2B483D91"/>
    <w:rsid w:val="2C2C0479"/>
    <w:rsid w:val="2F613254"/>
    <w:rsid w:val="31A4241A"/>
    <w:rsid w:val="360D7320"/>
    <w:rsid w:val="3C8D7505"/>
    <w:rsid w:val="425E338D"/>
    <w:rsid w:val="44E150AD"/>
    <w:rsid w:val="50875690"/>
    <w:rsid w:val="522C7107"/>
    <w:rsid w:val="551B596C"/>
    <w:rsid w:val="564612D8"/>
    <w:rsid w:val="5BCB579B"/>
    <w:rsid w:val="5D101956"/>
    <w:rsid w:val="5DB449D7"/>
    <w:rsid w:val="60622E17"/>
    <w:rsid w:val="60EE0FDE"/>
    <w:rsid w:val="61A1128C"/>
    <w:rsid w:val="61CA21D9"/>
    <w:rsid w:val="679D1114"/>
    <w:rsid w:val="6FBE1156"/>
    <w:rsid w:val="72A40A66"/>
    <w:rsid w:val="74B21D40"/>
    <w:rsid w:val="754F7449"/>
    <w:rsid w:val="777A1C0B"/>
    <w:rsid w:val="7AC9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360" w:lineRule="auto"/>
      <w:ind w:firstLine="835" w:firstLineChars="160"/>
      <w:outlineLvl w:val="1"/>
    </w:pPr>
    <w:rPr>
      <w:rFonts w:ascii="Arial" w:hAnsi="Arial"/>
      <w:b/>
      <w:sz w:val="32"/>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3448</Words>
  <Characters>3491</Characters>
  <Lines>0</Lines>
  <Paragraphs>0</Paragraphs>
  <TotalTime>5</TotalTime>
  <ScaleCrop>false</ScaleCrop>
  <LinksUpToDate>false</LinksUpToDate>
  <CharactersWithSpaces>3499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2022-06-16T01:32:00Z</dcterms:created>
  <dc:creator>Administrator</dc:creator>
  <cp:lastModifiedBy>颍河水</cp:lastModifiedBy>
  <dcterms:modified xsi:type="dcterms:W3CDTF">2023-12-20T02:02:48Z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9BDAD4BF0E23449D9B6912123F958E59_13</vt:lpwstr>
  </property>
</Properties>
</file>