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楷体" w:hAnsi="楷体" w:eastAsia="楷体" w:cs="楷体"/>
          <w:color w:val="auto"/>
          <w:w w:val="115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w w:val="115"/>
          <w:sz w:val="32"/>
          <w:szCs w:val="32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w w:val="115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突发事件应急保障工作牵头部门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和支持部门</w:t>
      </w:r>
    </w:p>
    <w:bookmarkEnd w:id="0"/>
    <w:p>
      <w:pPr>
        <w:pStyle w:val="2"/>
        <w:spacing w:before="2"/>
        <w:ind w:left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5"/>
        <w:tblW w:w="9256" w:type="dxa"/>
        <w:tblInd w:w="-281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963"/>
        <w:gridCol w:w="2269"/>
        <w:gridCol w:w="3400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551" w:hRule="atLeast"/>
        </w:trPr>
        <w:tc>
          <w:tcPr>
            <w:tcW w:w="624" w:type="dxa"/>
            <w:tcBorders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序号</w:t>
            </w:r>
          </w:p>
        </w:tc>
        <w:tc>
          <w:tcPr>
            <w:tcW w:w="2963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应急保障措施</w:t>
            </w:r>
          </w:p>
        </w:tc>
        <w:tc>
          <w:tcPr>
            <w:tcW w:w="2269" w:type="dxa"/>
            <w:tcBorders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牵头部门</w:t>
            </w:r>
          </w:p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 xml:space="preserve"> (单位)</w:t>
            </w:r>
          </w:p>
        </w:tc>
        <w:tc>
          <w:tcPr>
            <w:tcW w:w="3400" w:type="dxa"/>
            <w:tcBorders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支持部门 (单位)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</w:p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交通运输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县交通局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县公安局、县发展改革委、县应急管理局、县消防救援中队漯阜铁路公司等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医学救援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县卫健委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县发展改革委、县工信局、县市场监管局、县红十字会等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能源供应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县发展改革委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县商务局等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通信保障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县工信局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县文化广电和旅游局、县公安局、县交通局等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</w:p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灾害现场信息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县应急管理局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县自然资源、 县生态环境局、县交通局、县工信局, 武警沈丘中队等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</w:p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6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抢险救援物资装备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县粮食和物资储备局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县工信局、县财政局、县市场监管局、 县应急管理局、 县 交通局、县水利局、 县自然资源等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</w:p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7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自然灾害救助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县应急管理局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县发展改革委、 县住建局、县民政局、县财政局、县商务局、县卫健委、县粮食和物资储备局、县红十字会等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624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社会秩序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县公安局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武警沈丘中队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624" w:type="dxa"/>
            <w:tcBorders>
              <w:top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</w:p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9</w:t>
            </w:r>
          </w:p>
        </w:tc>
        <w:tc>
          <w:tcPr>
            <w:tcW w:w="2963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新闻宣传</w:t>
            </w:r>
          </w:p>
        </w:tc>
        <w:tc>
          <w:tcPr>
            <w:tcW w:w="2269" w:type="dxa"/>
            <w:tcBorders>
              <w:top w:val="single" w:color="231F20" w:sz="4" w:space="0"/>
              <w:left w:val="single" w:color="231F20" w:sz="4" w:space="0"/>
              <w:righ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市委宣传部</w:t>
            </w:r>
          </w:p>
        </w:tc>
        <w:tc>
          <w:tcPr>
            <w:tcW w:w="3400" w:type="dxa"/>
            <w:tcBorders>
              <w:top w:val="single" w:color="231F20" w:sz="4" w:space="0"/>
              <w:left w:val="single" w:color="231F20" w:sz="4" w:space="0"/>
            </w:tcBorders>
            <w:noWrap w:val="0"/>
            <w:vAlign w:val="center"/>
          </w:tcPr>
          <w:p>
            <w:pPr>
              <w:pStyle w:val="2"/>
              <w:spacing w:before="160" w:after="8"/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6"/>
                <w:kern w:val="2"/>
                <w:sz w:val="28"/>
                <w:szCs w:val="28"/>
                <w:lang w:val="en-US" w:eastAsia="zh-CN" w:bidi="zh-CN"/>
              </w:rPr>
              <w:t>县委网信办、县文化广电和旅游局等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33D29"/>
    <w:rsid w:val="2173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80"/>
    </w:pPr>
    <w:rPr>
      <w:rFonts w:ascii="宋体" w:hAnsi="宋体" w:eastAsia="宋体" w:cs="宋体"/>
      <w:sz w:val="29"/>
      <w:szCs w:val="29"/>
      <w:lang w:val="zh-CN" w:eastAsia="zh-CN" w:bidi="zh-CN"/>
    </w:rPr>
  </w:style>
  <w:style w:type="paragraph" w:styleId="3">
    <w:name w:val="Body Text 2"/>
    <w:basedOn w:val="1"/>
    <w:qFormat/>
    <w:uiPriority w:val="99"/>
    <w:pPr>
      <w:spacing w:after="120" w:line="480" w:lineRule="auto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2023-08-28T01:34:00Z</dcterms:created>
  <dc:creator>shandian</dc:creator>
  <cp:lastModifiedBy>shandian</cp:lastModifiedBy>
  <dcterms:modified xsi:type="dcterms:W3CDTF">2023-08-28T01:34:37Z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