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napToGrid w:val="0"/>
        <w:spacing w:line="550" w:lineRule="atLeast"/>
        <w:jc w:val="center"/>
        <w:textAlignment w:val="auto"/>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lang w:val="en-US" w:eastAsia="zh-CN"/>
        </w:rPr>
        <w:t>沈丘县</w:t>
      </w:r>
      <w:r>
        <w:rPr>
          <w:rFonts w:hint="eastAsia" w:ascii="方正小标宋简体" w:hAnsi="方正小标宋简体" w:eastAsia="方正小标宋简体" w:cs="方正小标宋简体"/>
          <w:b w:val="0"/>
          <w:bCs w:val="0"/>
          <w:sz w:val="44"/>
          <w:szCs w:val="44"/>
        </w:rPr>
        <w:t>新一周期(2020-2025)国土资源节约集约利用考核办法(试行)</w:t>
      </w:r>
    </w:p>
    <w:p>
      <w:pPr>
        <w:keepNext w:val="0"/>
        <w:keepLines w:val="0"/>
        <w:pageBreakBefore w:val="0"/>
        <w:widowControl w:val="0"/>
        <w:kinsoku/>
        <w:overflowPunct/>
        <w:topLinePunct w:val="0"/>
        <w:autoSpaceDE/>
        <w:autoSpaceDN/>
        <w:bidi w:val="0"/>
        <w:adjustRightInd w:val="0"/>
        <w:snapToGrid w:val="0"/>
        <w:spacing w:line="550" w:lineRule="atLeast"/>
        <w:jc w:val="left"/>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val="0"/>
        <w:snapToGrid w:val="0"/>
        <w:spacing w:line="550" w:lineRule="atLeas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为落实最严格的耕地保护制度和</w:t>
      </w:r>
      <w:r>
        <w:rPr>
          <w:rFonts w:hint="eastAsia" w:ascii="仿宋_GB2312" w:hAnsi="仿宋_GB2312" w:eastAsia="仿宋_GB2312" w:cs="仿宋_GB2312"/>
          <w:b w:val="0"/>
          <w:bCs w:val="0"/>
          <w:sz w:val="32"/>
          <w:szCs w:val="32"/>
        </w:rPr>
        <w:t>最严格的节约集约用地制度</w:t>
      </w:r>
      <w:r>
        <w:rPr>
          <w:rFonts w:hint="eastAsia" w:ascii="仿宋_GB2312" w:hAnsi="仿宋_GB2312" w:eastAsia="仿宋_GB2312" w:cs="仿宋_GB2312"/>
          <w:b w:val="0"/>
          <w:bCs w:val="0"/>
          <w:sz w:val="32"/>
          <w:szCs w:val="32"/>
          <w:lang w:eastAsia="zh-CN"/>
        </w:rPr>
        <w:t>，强化国土资源节约集约利用，</w:t>
      </w:r>
      <w:r>
        <w:rPr>
          <w:rFonts w:hint="eastAsia" w:ascii="仿宋_GB2312" w:hAnsi="仿宋_GB2312" w:eastAsia="仿宋_GB2312" w:cs="仿宋_GB2312"/>
          <w:b w:val="0"/>
          <w:bCs w:val="0"/>
          <w:sz w:val="32"/>
          <w:szCs w:val="32"/>
        </w:rPr>
        <w:t>根据《国土资源部关于推进十地节约集约利用的指导意见》(国</w:t>
      </w:r>
      <w:r>
        <w:rPr>
          <w:rFonts w:hint="eastAsia" w:ascii="仿宋_GB2312" w:hAnsi="仿宋_GB2312" w:eastAsia="仿宋_GB2312" w:cs="仿宋_GB2312"/>
          <w:b w:val="0"/>
          <w:bCs w:val="0"/>
          <w:sz w:val="32"/>
          <w:szCs w:val="32"/>
          <w:lang w:val="en-US" w:eastAsia="zh-CN"/>
        </w:rPr>
        <w:t>土</w:t>
      </w:r>
      <w:r>
        <w:rPr>
          <w:rFonts w:hint="eastAsia" w:ascii="仿宋_GB2312" w:hAnsi="仿宋_GB2312" w:eastAsia="仿宋_GB2312" w:cs="仿宋_GB2312"/>
          <w:b w:val="0"/>
          <w:bCs w:val="0"/>
          <w:sz w:val="32"/>
          <w:szCs w:val="32"/>
        </w:rPr>
        <w:t>资发〔2014〕119号)</w:t>
      </w:r>
      <w:r>
        <w:rPr>
          <w:rFonts w:hint="eastAsia" w:ascii="仿宋_GB2312" w:hAnsi="仿宋_GB2312" w:eastAsia="仿宋_GB2312" w:cs="仿宋_GB2312"/>
          <w:b w:val="0"/>
          <w:bCs w:val="0"/>
          <w:sz w:val="32"/>
          <w:szCs w:val="32"/>
          <w:lang w:eastAsia="zh-CN"/>
        </w:rPr>
        <w:t>和</w:t>
      </w:r>
      <w:r>
        <w:rPr>
          <w:rFonts w:hint="eastAsia" w:ascii="仿宋_GB2312" w:hAnsi="仿宋_GB2312" w:eastAsia="仿宋_GB2312" w:cs="仿宋_GB2312"/>
          <w:b w:val="0"/>
          <w:bCs w:val="0"/>
          <w:sz w:val="32"/>
          <w:szCs w:val="32"/>
        </w:rPr>
        <w:t>《国土资源部办公厅关于印发&lt;国土资源节约集约模范县(市)创建活动新一周期工作安排和新修订的指标体系&gt;的通知》(国土资发〔2014〕35号的有关规定和要求，结合我</w:t>
      </w:r>
      <w:r>
        <w:rPr>
          <w:rFonts w:hint="eastAsia" w:ascii="仿宋_GB2312" w:hAnsi="仿宋_GB2312" w:eastAsia="仿宋_GB2312" w:cs="仿宋_GB2312"/>
          <w:b w:val="0"/>
          <w:bCs w:val="0"/>
          <w:sz w:val="32"/>
          <w:szCs w:val="32"/>
          <w:lang w:eastAsia="zh-CN"/>
        </w:rPr>
        <w:t>县</w:t>
      </w:r>
      <w:r>
        <w:rPr>
          <w:rFonts w:hint="eastAsia" w:ascii="仿宋_GB2312" w:hAnsi="仿宋_GB2312" w:eastAsia="仿宋_GB2312" w:cs="仿宋_GB2312"/>
          <w:b w:val="0"/>
          <w:bCs w:val="0"/>
          <w:sz w:val="32"/>
          <w:szCs w:val="32"/>
        </w:rPr>
        <w:t>实际，制</w:t>
      </w:r>
      <w:r>
        <w:rPr>
          <w:rFonts w:hint="eastAsia" w:ascii="仿宋_GB2312" w:hAnsi="仿宋_GB2312" w:eastAsia="仿宋_GB2312" w:cs="仿宋_GB2312"/>
          <w:b w:val="0"/>
          <w:bCs w:val="0"/>
          <w:sz w:val="32"/>
          <w:szCs w:val="32"/>
          <w:lang w:eastAsia="zh-CN"/>
        </w:rPr>
        <w:t>定</w:t>
      </w:r>
      <w:r>
        <w:rPr>
          <w:rFonts w:hint="eastAsia" w:ascii="仿宋_GB2312" w:hAnsi="仿宋_GB2312" w:eastAsia="仿宋_GB2312" w:cs="仿宋_GB2312"/>
          <w:b w:val="0"/>
          <w:bCs w:val="0"/>
          <w:sz w:val="32"/>
          <w:szCs w:val="32"/>
        </w:rPr>
        <w:t>本办法。</w:t>
      </w:r>
    </w:p>
    <w:p>
      <w:pPr>
        <w:keepNext w:val="0"/>
        <w:keepLines w:val="0"/>
        <w:pageBreakBefore w:val="0"/>
        <w:widowControl w:val="0"/>
        <w:kinsoku/>
        <w:overflowPunct/>
        <w:topLinePunct w:val="0"/>
        <w:autoSpaceDE/>
        <w:autoSpaceDN/>
        <w:bidi w:val="0"/>
        <w:adjustRightInd w:val="0"/>
        <w:snapToGrid w:val="0"/>
        <w:spacing w:line="550" w:lineRule="atLeas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一、考核对象及原则</w:t>
      </w:r>
    </w:p>
    <w:p>
      <w:pPr>
        <w:keepNext w:val="0"/>
        <w:keepLines w:val="0"/>
        <w:pageBreakBefore w:val="0"/>
        <w:widowControl w:val="0"/>
        <w:kinsoku/>
        <w:overflowPunct/>
        <w:topLinePunct w:val="0"/>
        <w:autoSpaceDE/>
        <w:autoSpaceDN/>
        <w:bidi w:val="0"/>
        <w:adjustRightInd w:val="0"/>
        <w:snapToGrid w:val="0"/>
        <w:spacing w:line="550" w:lineRule="atLeast"/>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（一）考核对象。</w:t>
      </w:r>
      <w:r>
        <w:rPr>
          <w:rFonts w:hint="eastAsia" w:ascii="仿宋_GB2312" w:hAnsi="仿宋_GB2312" w:eastAsia="仿宋_GB2312" w:cs="仿宋_GB2312"/>
          <w:sz w:val="32"/>
          <w:szCs w:val="32"/>
        </w:rPr>
        <w:t>各乡镇</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产业集聚区管委会。</w:t>
      </w:r>
    </w:p>
    <w:p>
      <w:pPr>
        <w:keepNext w:val="0"/>
        <w:keepLines w:val="0"/>
        <w:pageBreakBefore w:val="0"/>
        <w:widowControl w:val="0"/>
        <w:kinsoku/>
        <w:overflowPunct/>
        <w:topLinePunct w:val="0"/>
        <w:autoSpaceDE/>
        <w:autoSpaceDN/>
        <w:bidi w:val="0"/>
        <w:adjustRightInd w:val="0"/>
        <w:snapToGrid w:val="0"/>
        <w:spacing w:line="550" w:lineRule="atLeast"/>
        <w:ind w:firstLine="640"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（二）考核原则。</w:t>
      </w:r>
      <w:r>
        <w:rPr>
          <w:rFonts w:hint="eastAsia" w:ascii="仿宋_GB2312" w:hAnsi="仿宋_GB2312" w:eastAsia="仿宋_GB2312" w:cs="仿宋_GB2312"/>
          <w:sz w:val="32"/>
          <w:szCs w:val="32"/>
          <w:lang w:eastAsia="zh-CN"/>
        </w:rPr>
        <w:t>坚持公平公正公开的原则，采取</w:t>
      </w:r>
      <w:r>
        <w:rPr>
          <w:rFonts w:hint="eastAsia" w:ascii="仿宋_GB2312" w:hAnsi="仿宋_GB2312" w:eastAsia="仿宋_GB2312" w:cs="仿宋_GB2312"/>
          <w:sz w:val="32"/>
          <w:szCs w:val="32"/>
        </w:rPr>
        <w:t>定性与定量相结合，对</w:t>
      </w:r>
      <w:r>
        <w:rPr>
          <w:rFonts w:hint="eastAsia" w:ascii="仿宋_GB2312" w:hAnsi="仿宋_GB2312" w:eastAsia="仿宋_GB2312" w:cs="仿宋_GB2312"/>
          <w:sz w:val="32"/>
          <w:szCs w:val="32"/>
          <w:lang w:eastAsia="zh-CN"/>
        </w:rPr>
        <w:t>全县的国土资源</w:t>
      </w:r>
      <w:r>
        <w:rPr>
          <w:rFonts w:hint="eastAsia" w:ascii="仿宋_GB2312" w:hAnsi="仿宋_GB2312" w:eastAsia="仿宋_GB2312" w:cs="仿宋_GB2312"/>
          <w:sz w:val="32"/>
          <w:szCs w:val="32"/>
        </w:rPr>
        <w:t>节约集约利用进行衡量比较和综合评判</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topLinePunct w:val="0"/>
        <w:autoSpaceDE/>
        <w:autoSpaceDN/>
        <w:bidi w:val="0"/>
        <w:adjustRightInd w:val="0"/>
        <w:snapToGrid w:val="0"/>
        <w:spacing w:line="550" w:lineRule="atLeast"/>
        <w:ind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二、考核内容</w:t>
      </w:r>
    </w:p>
    <w:p>
      <w:pPr>
        <w:keepNext w:val="0"/>
        <w:keepLines w:val="0"/>
        <w:pageBreakBefore w:val="0"/>
        <w:widowControl w:val="0"/>
        <w:kinsoku/>
        <w:overflowPunct/>
        <w:topLinePunct w:val="0"/>
        <w:autoSpaceDE/>
        <w:autoSpaceDN/>
        <w:bidi w:val="0"/>
        <w:adjustRightInd w:val="0"/>
        <w:snapToGrid w:val="0"/>
        <w:spacing w:line="550" w:lineRule="atLeas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国土资源节约集约综合评价考核内容主要反映本辖区经济社会发展过程中国土资源节约集约利用和管理的状况，包括资源利用水平、耕地保护和用地保障、资源利用管控效率以及涉土执法及信访情况等。</w:t>
      </w:r>
    </w:p>
    <w:p>
      <w:pPr>
        <w:keepNext w:val="0"/>
        <w:keepLines w:val="0"/>
        <w:pageBreakBefore w:val="0"/>
        <w:widowControl w:val="0"/>
        <w:kinsoku/>
        <w:overflowPunct/>
        <w:topLinePunct w:val="0"/>
        <w:autoSpaceDE/>
        <w:autoSpaceDN/>
        <w:bidi w:val="0"/>
        <w:adjustRightInd w:val="0"/>
        <w:snapToGrid w:val="0"/>
        <w:spacing w:line="550" w:lineRule="atLeas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(一)国土资源节约集约利用，是指通过规划引导、标准控制、市场配置、存量挖潜等手段，实现节约资源、保护耕地、优化资源利用结构和布局、提升节地水平的各项行为与活动。</w:t>
      </w:r>
    </w:p>
    <w:p>
      <w:pPr>
        <w:keepNext w:val="0"/>
        <w:keepLines w:val="0"/>
        <w:pageBreakBefore w:val="0"/>
        <w:widowControl w:val="0"/>
        <w:kinsoku/>
        <w:overflowPunct/>
        <w:topLinePunct w:val="0"/>
        <w:autoSpaceDE/>
        <w:autoSpaceDN/>
        <w:bidi w:val="0"/>
        <w:adjustRightInd w:val="0"/>
        <w:snapToGrid w:val="0"/>
        <w:spacing w:line="550" w:lineRule="atLeas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(二)各乡镇（街道）对本辖区内国土资源节约集约利用工作负总责，贯彻执行各项国士资源节约集约利用制度，将国土资源节约集约利用主要指标纳入本辖区经济社会发展目标。</w:t>
      </w:r>
    </w:p>
    <w:p>
      <w:pPr>
        <w:keepNext w:val="0"/>
        <w:keepLines w:val="0"/>
        <w:pageBreakBefore w:val="0"/>
        <w:widowControl w:val="0"/>
        <w:kinsoku/>
        <w:overflowPunct/>
        <w:topLinePunct w:val="0"/>
        <w:autoSpaceDE/>
        <w:autoSpaceDN/>
        <w:bidi w:val="0"/>
        <w:adjustRightInd w:val="0"/>
        <w:snapToGrid w:val="0"/>
        <w:spacing w:line="550" w:lineRule="atLeas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(三)县政府</w:t>
      </w:r>
      <w:r>
        <w:rPr>
          <w:rFonts w:hint="eastAsia" w:ascii="仿宋_GB2312" w:hAnsi="仿宋_GB2312" w:eastAsia="仿宋_GB2312" w:cs="仿宋_GB2312"/>
          <w:sz w:val="32"/>
          <w:szCs w:val="32"/>
        </w:rPr>
        <w:t>成立新一周期(2020-2025)国土资源节约集约利用考核工作领导小组(以下简称考核工作领导小组)，</w:t>
      </w:r>
      <w:r>
        <w:rPr>
          <w:rFonts w:hint="eastAsia" w:ascii="仿宋_GB2312" w:hAnsi="仿宋_GB2312" w:eastAsia="仿宋_GB2312" w:cs="仿宋_GB2312"/>
          <w:sz w:val="32"/>
          <w:szCs w:val="32"/>
          <w:lang w:eastAsia="zh-CN"/>
        </w:rPr>
        <w:t>对各乡镇（街道）、</w:t>
      </w:r>
      <w:r>
        <w:rPr>
          <w:rFonts w:hint="eastAsia" w:ascii="仿宋_GB2312" w:hAnsi="仿宋_GB2312" w:eastAsia="仿宋_GB2312" w:cs="仿宋_GB2312"/>
          <w:sz w:val="32"/>
          <w:szCs w:val="32"/>
        </w:rPr>
        <w:t>产业集聚区管委会</w:t>
      </w:r>
      <w:r>
        <w:rPr>
          <w:rFonts w:hint="eastAsia" w:ascii="仿宋_GB2312" w:hAnsi="仿宋_GB2312" w:eastAsia="仿宋_GB2312" w:cs="仿宋_GB2312"/>
          <w:sz w:val="32"/>
          <w:szCs w:val="32"/>
          <w:lang w:eastAsia="zh-CN"/>
        </w:rPr>
        <w:t>区域内国土资源节约集约利用情况进行年度综合评价考核。</w:t>
      </w: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（四）考核从</w:t>
      </w:r>
      <w:r>
        <w:rPr>
          <w:rFonts w:hint="eastAsia" w:ascii="仿宋_GB2312" w:hAnsi="仿宋_GB2312" w:eastAsia="仿宋_GB2312" w:cs="仿宋_GB2312"/>
          <w:sz w:val="32"/>
          <w:szCs w:val="32"/>
        </w:rPr>
        <w:t>工作成效考核和行动考核</w:t>
      </w:r>
      <w:r>
        <w:rPr>
          <w:rFonts w:hint="eastAsia" w:ascii="仿宋_GB2312" w:hAnsi="仿宋_GB2312" w:eastAsia="仿宋_GB2312" w:cs="仿宋_GB2312"/>
          <w:sz w:val="32"/>
          <w:szCs w:val="32"/>
          <w:lang w:eastAsia="zh-CN"/>
        </w:rPr>
        <w:t>两个方面进行。</w:t>
      </w: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工作成效考核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指标包括:土地利用效率、耕地保护效率、土地规划执行情况、地籍管理落实率等方面。</w:t>
      </w:r>
    </w:p>
    <w:p>
      <w:pPr>
        <w:keepNext w:val="0"/>
        <w:keepLines w:val="0"/>
        <w:pageBreakBefore w:val="0"/>
        <w:widowControl w:val="0"/>
        <w:kinsoku/>
        <w:overflowPunct/>
        <w:topLinePunct w:val="0"/>
        <w:autoSpaceDE/>
        <w:autoSpaceDN/>
        <w:bidi w:val="0"/>
        <w:adjustRightInd w:val="0"/>
        <w:snapToGrid w:val="0"/>
        <w:spacing w:line="550" w:lineRule="atLeas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行动考核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指标包括:领导机制、创建活动方案设计、舆论宣传及管理制度等方面。</w:t>
      </w: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firstLine="640" w:firstLineChars="200"/>
        <w:jc w:val="left"/>
        <w:textAlignment w:val="auto"/>
        <w:rPr>
          <w:rFonts w:hint="eastAsia" w:ascii="仿宋_GB2312" w:hAnsi="仿宋_GB2312" w:eastAsia="仿宋_GB2312" w:cs="仿宋_GB2312"/>
          <w:b/>
          <w:bCs/>
          <w:sz w:val="32"/>
          <w:szCs w:val="32"/>
          <w:lang w:eastAsia="zh-CN"/>
        </w:rPr>
      </w:pPr>
      <w:r>
        <w:rPr>
          <w:rFonts w:hint="eastAsia" w:ascii="黑体" w:hAnsi="黑体" w:eastAsia="黑体" w:cs="黑体"/>
          <w:b w:val="0"/>
          <w:bCs w:val="0"/>
          <w:sz w:val="32"/>
          <w:szCs w:val="32"/>
          <w:lang w:eastAsia="zh-CN"/>
        </w:rPr>
        <w:t>三、考核办法</w:t>
      </w: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（一）时间安排。</w:t>
      </w:r>
      <w:r>
        <w:rPr>
          <w:rFonts w:hint="eastAsia" w:ascii="仿宋_GB2312" w:hAnsi="仿宋_GB2312" w:eastAsia="仿宋_GB2312" w:cs="仿宋_GB2312"/>
          <w:sz w:val="32"/>
          <w:szCs w:val="32"/>
        </w:rPr>
        <w:t>考核工作每年度进行1次，时间安排在考核年下一年的第一季度。</w:t>
      </w: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（二）考核数据。</w:t>
      </w:r>
      <w:r>
        <w:rPr>
          <w:rFonts w:hint="eastAsia" w:ascii="仿宋_GB2312" w:hAnsi="仿宋_GB2312" w:eastAsia="仿宋_GB2312" w:cs="仿宋_GB2312"/>
          <w:sz w:val="32"/>
          <w:szCs w:val="32"/>
        </w:rPr>
        <w:t>考核各项数据以</w:t>
      </w:r>
      <w:r>
        <w:rPr>
          <w:rFonts w:hint="eastAsia" w:ascii="仿宋_GB2312" w:hAnsi="仿宋_GB2312" w:eastAsia="仿宋_GB2312" w:cs="仿宋_GB2312"/>
          <w:sz w:val="32"/>
          <w:szCs w:val="32"/>
          <w:lang w:eastAsia="zh-CN"/>
        </w:rPr>
        <w:t>县自然资源局</w:t>
      </w:r>
      <w:r>
        <w:rPr>
          <w:rFonts w:hint="eastAsia" w:ascii="仿宋_GB2312" w:hAnsi="仿宋_GB2312" w:eastAsia="仿宋_GB2312" w:cs="仿宋_GB2312"/>
          <w:sz w:val="32"/>
          <w:szCs w:val="32"/>
        </w:rPr>
        <w:t>、统计部门提供的考核年年末数据、考核年上年度年末数据、考核年之前两年和考核年三年累计数据为准。</w:t>
      </w: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（三）考核实施。</w:t>
      </w:r>
      <w:r>
        <w:rPr>
          <w:rFonts w:hint="eastAsia" w:ascii="仿宋_GB2312" w:hAnsi="仿宋_GB2312" w:eastAsia="仿宋_GB2312" w:cs="仿宋_GB2312"/>
          <w:sz w:val="32"/>
          <w:szCs w:val="32"/>
        </w:rPr>
        <w:t>考核工作分为自</w:t>
      </w:r>
      <w:r>
        <w:rPr>
          <w:rFonts w:hint="eastAsia" w:ascii="仿宋_GB2312" w:hAnsi="仿宋_GB2312" w:eastAsia="仿宋_GB2312" w:cs="仿宋_GB2312"/>
          <w:sz w:val="32"/>
          <w:szCs w:val="32"/>
          <w:lang w:eastAsia="zh-CN"/>
        </w:rPr>
        <w:t>测</w:t>
      </w:r>
      <w:r>
        <w:rPr>
          <w:rFonts w:hint="eastAsia" w:ascii="仿宋_GB2312" w:hAnsi="仿宋_GB2312" w:eastAsia="仿宋_GB2312" w:cs="仿宋_GB2312"/>
          <w:sz w:val="32"/>
          <w:szCs w:val="32"/>
        </w:rPr>
        <w:t>评分、统一评分、核查考评三个阶段。</w:t>
      </w: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lang w:eastAsia="zh-CN"/>
        </w:rPr>
        <w:t>测</w:t>
      </w:r>
      <w:r>
        <w:rPr>
          <w:rFonts w:hint="eastAsia" w:ascii="仿宋_GB2312" w:hAnsi="仿宋_GB2312" w:eastAsia="仿宋_GB2312" w:cs="仿宋_GB2312"/>
          <w:sz w:val="32"/>
          <w:szCs w:val="32"/>
        </w:rPr>
        <w:t>评分:考核对象按照本办法(试行)规定的内容，对考核年本单位土地节约集约利用工作情况进行自我评价，形成自评报告，上交</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考核工作领导小组办公室。</w:t>
      </w: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统一评分:</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考核工作领导小组办公室按照本办法每年组织对各乡镇</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、产业集聚区管委会的节约集约用地水平进行统一评分，向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考核工作领导小组提交节约集约用地评价报告。</w:t>
      </w: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核查考评:</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考核工作领导小组对各考核对象上报的自评报告，连同统一评分的评价报告进行考核与综合评分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形成节约集约用地考核报告。</w:t>
      </w: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四、严格考核</w:t>
      </w: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有以下情形之一的，</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直接被定为不合格</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考核年度耕地保护责任目标、基本农田保护任务、耕地占补平衡有任意一项不达标的，</w:t>
      </w:r>
      <w:r>
        <w:rPr>
          <w:rFonts w:hint="eastAsia" w:ascii="仿宋_GB2312" w:hAnsi="仿宋_GB2312" w:eastAsia="仿宋_GB2312" w:cs="仿宋_GB2312"/>
          <w:sz w:val="32"/>
          <w:szCs w:val="32"/>
        </w:rPr>
        <w:t>单宗违法占用耕地超过20亩的</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考核年度及考核期间，被自然资源部挂牌督办、约谈或直接查处国土资源案件的：被省自然资源厅约谈或问责的、被省自然资源厅挂牌督办或直接查处国土资源案件的、土地督察或卫片执法检查整改未通过验收的，且未整改到位的；有经主流煤体披露、市级以上领导批示，经查实确有重大国土资源违法违规事实、造成恶劣影响的。</w:t>
      </w: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(三)因违法征地、违法用地、房屋拆迁等引起恶性事件</w:t>
      </w: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或群体性事件的。</w:t>
      </w: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考核结果应用</w:t>
      </w: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leftChars="0"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（一）分值设定。</w:t>
      </w:r>
      <w:r>
        <w:rPr>
          <w:rFonts w:hint="eastAsia" w:ascii="仿宋_GB2312" w:hAnsi="仿宋_GB2312" w:eastAsia="仿宋_GB2312" w:cs="仿宋_GB2312"/>
          <w:sz w:val="32"/>
          <w:szCs w:val="32"/>
        </w:rPr>
        <w:t>对各项考核内容分别设置指标分值，满分为100分。其中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工作成效为定量考核内容，满分80分;行动考核为定性考核内容，满分20分。考核得分90分</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为优秀，80</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分为良好，60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80分为合格，60分</w:t>
      </w:r>
      <w:r>
        <w:rPr>
          <w:rFonts w:hint="eastAsia" w:ascii="仿宋_GB2312" w:hAnsi="仿宋_GB2312" w:eastAsia="仿宋_GB2312" w:cs="仿宋_GB2312"/>
          <w:sz w:val="32"/>
          <w:szCs w:val="32"/>
          <w:lang w:eastAsia="zh-CN"/>
        </w:rPr>
        <w:t>以下</w:t>
      </w:r>
      <w:r>
        <w:rPr>
          <w:rFonts w:hint="eastAsia" w:ascii="仿宋_GB2312" w:hAnsi="仿宋_GB2312" w:eastAsia="仿宋_GB2312" w:cs="仿宋_GB2312"/>
          <w:sz w:val="32"/>
          <w:szCs w:val="32"/>
        </w:rPr>
        <w:t>为不合格(考评计分方法详见附件)。</w:t>
      </w: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（二）奖惩运用。</w:t>
      </w:r>
      <w:r>
        <w:rPr>
          <w:rFonts w:hint="eastAsia" w:ascii="仿宋_GB2312" w:hAnsi="仿宋_GB2312" w:eastAsia="仿宋_GB2312" w:cs="仿宋_GB2312"/>
          <w:sz w:val="32"/>
          <w:szCs w:val="32"/>
        </w:rPr>
        <w:t>考核结果纳入政绩考核体系，与奖励惩处、干部绩效挂钩，占政绩考核总分的5%。</w:t>
      </w:r>
      <w:r>
        <w:rPr>
          <w:rFonts w:hint="eastAsia" w:ascii="仿宋_GB2312" w:hAnsi="仿宋_GB2312" w:eastAsia="仿宋_GB2312" w:cs="仿宋_GB2312"/>
          <w:sz w:val="32"/>
          <w:szCs w:val="32"/>
          <w:lang w:eastAsia="zh-CN"/>
        </w:rPr>
        <w:t>作为对各乡镇办事处领导班子、领导干部年度综合考核评价的重要依据和任期经济责任审计的重要内容。</w:t>
      </w: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考核结果优秀的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政府给予通报表彰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对考核结果不合格的，</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政府给予通报批评，并责成其</w:t>
      </w:r>
      <w:r>
        <w:rPr>
          <w:rFonts w:hint="eastAsia" w:ascii="仿宋_GB2312" w:hAnsi="仿宋_GB2312" w:eastAsia="仿宋_GB2312" w:cs="仿宋_GB2312"/>
          <w:sz w:val="32"/>
          <w:szCs w:val="32"/>
          <w:lang w:eastAsia="zh-CN"/>
        </w:rPr>
        <w:t>形成</w:t>
      </w:r>
      <w:r>
        <w:rPr>
          <w:rFonts w:hint="eastAsia" w:ascii="仿宋_GB2312" w:hAnsi="仿宋_GB2312" w:eastAsia="仿宋_GB2312" w:cs="仿宋_GB2312"/>
          <w:sz w:val="32"/>
          <w:szCs w:val="32"/>
        </w:rPr>
        <w:t>书面整改意见，提出推进节约集约用地切实可行的措施。对评价考核工作中弄虚作假的，</w:t>
      </w:r>
      <w:r>
        <w:rPr>
          <w:rFonts w:hint="eastAsia" w:ascii="仿宋_GB2312" w:hAnsi="仿宋_GB2312" w:eastAsia="仿宋_GB2312" w:cs="仿宋_GB2312"/>
          <w:sz w:val="32"/>
          <w:szCs w:val="32"/>
          <w:lang w:eastAsia="zh-CN"/>
        </w:rPr>
        <w:t>给予全县</w:t>
      </w:r>
      <w:r>
        <w:rPr>
          <w:rFonts w:hint="eastAsia" w:ascii="仿宋_GB2312" w:hAnsi="仿宋_GB2312" w:eastAsia="仿宋_GB2312" w:cs="仿宋_GB2312"/>
          <w:sz w:val="32"/>
          <w:szCs w:val="32"/>
        </w:rPr>
        <w:t>通报批评，</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追究</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责任人责任。</w:t>
      </w: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leftChars="0"/>
        <w:jc w:val="lef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沈丘县</w:t>
      </w:r>
      <w:r>
        <w:rPr>
          <w:rFonts w:hint="eastAsia" w:ascii="仿宋_GB2312" w:hAnsi="仿宋_GB2312" w:eastAsia="仿宋_GB2312" w:cs="仿宋_GB2312"/>
          <w:sz w:val="32"/>
          <w:szCs w:val="32"/>
        </w:rPr>
        <w:t>国土资源节约集约利用考核评分方法</w:t>
      </w: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leftChars="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leftChars="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leftChars="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leftChars="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leftChars="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leftChars="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leftChars="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leftChars="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leftChars="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50" w:lineRule="atLeast"/>
        <w:ind w:right="0"/>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eastAsia="zh-CN"/>
          <w14:textFill>
            <w14:solidFill>
              <w14:schemeClr w14:val="tx1"/>
            </w14:solidFill>
          </w14:textFill>
        </w:rPr>
        <w:t>件</w:t>
      </w:r>
    </w:p>
    <w:p>
      <w:pPr>
        <w:keepNext w:val="0"/>
        <w:keepLines w:val="0"/>
        <w:pageBreakBefore w:val="0"/>
        <w:widowControl w:val="0"/>
        <w:kinsoku/>
        <w:wordWrap/>
        <w:overflowPunct/>
        <w:topLinePunct w:val="0"/>
        <w:autoSpaceDE/>
        <w:autoSpaceDN/>
        <w:bidi w:val="0"/>
        <w:adjustRightInd w:val="0"/>
        <w:snapToGrid w:val="0"/>
        <w:spacing w:line="550" w:lineRule="atLeast"/>
        <w:ind w:right="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jc w:val="left"/>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沈丘县</w:t>
      </w:r>
      <w:r>
        <w:rPr>
          <w:rFonts w:hint="eastAsia" w:ascii="方正小标宋简体" w:hAnsi="方正小标宋简体" w:eastAsia="方正小标宋简体" w:cs="方正小标宋简体"/>
          <w:b w:val="0"/>
          <w:bCs w:val="0"/>
          <w:sz w:val="44"/>
          <w:szCs w:val="44"/>
        </w:rPr>
        <w:t>国土资源节约集约利用考核评分方法</w:t>
      </w:r>
    </w:p>
    <w:p>
      <w:pPr>
        <w:keepNext w:val="0"/>
        <w:keepLines w:val="0"/>
        <w:pageBreakBefore w:val="0"/>
        <w:widowControl w:val="0"/>
        <w:numPr>
          <w:ilvl w:val="0"/>
          <w:numId w:val="0"/>
        </w:numPr>
        <w:kinsoku/>
        <w:overflowPunct/>
        <w:topLinePunct w:val="0"/>
        <w:autoSpaceDE/>
        <w:autoSpaceDN/>
        <w:bidi w:val="0"/>
        <w:adjustRightInd w:val="0"/>
        <w:snapToGrid w:val="0"/>
        <w:spacing w:line="550" w:lineRule="atLeast"/>
        <w:ind w:leftChars="0" w:firstLine="600" w:firstLineChars="200"/>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textAlignment w:val="auto"/>
        <w:rPr>
          <w:rFonts w:hint="default" w:eastAsiaTheme="minorEastAsia"/>
          <w:b/>
          <w:bCs/>
          <w:sz w:val="24"/>
          <w:szCs w:val="24"/>
          <w:lang w:val="en-US" w:eastAsia="zh-CN"/>
        </w:rPr>
      </w:pPr>
      <w:r>
        <w:rPr>
          <w:rFonts w:hint="eastAsia"/>
          <w:b/>
          <w:bCs/>
          <w:sz w:val="24"/>
          <w:szCs w:val="24"/>
          <w:lang w:val="en-US" w:eastAsia="zh-CN"/>
        </w:rPr>
        <w:t>一、工作考核指标体系评分办法表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100"/>
        <w:gridCol w:w="650"/>
        <w:gridCol w:w="2583"/>
        <w:gridCol w:w="584"/>
        <w:gridCol w:w="466"/>
        <w:gridCol w:w="484"/>
        <w:gridCol w:w="902"/>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restart"/>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可选指标/权重</w:t>
            </w:r>
          </w:p>
        </w:tc>
        <w:tc>
          <w:tcPr>
            <w:tcW w:w="1100" w:type="dxa"/>
            <w:vMerge w:val="restart"/>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eastAsiaTheme="minorEastAsia"/>
                <w:sz w:val="21"/>
                <w:szCs w:val="21"/>
                <w:vertAlign w:val="baseline"/>
                <w:lang w:val="en-US" w:eastAsia="zh-CN"/>
              </w:rPr>
            </w:pPr>
            <w:r>
              <w:rPr>
                <w:rFonts w:hint="eastAsia"/>
                <w:sz w:val="21"/>
                <w:szCs w:val="21"/>
                <w:vertAlign w:val="baseline"/>
                <w:lang w:val="en-US" w:eastAsia="zh-CN"/>
              </w:rPr>
              <w:t>二级指标</w:t>
            </w:r>
          </w:p>
        </w:tc>
        <w:tc>
          <w:tcPr>
            <w:tcW w:w="650" w:type="dxa"/>
            <w:vMerge w:val="restart"/>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eastAsiaTheme="minorEastAsia"/>
                <w:sz w:val="21"/>
                <w:szCs w:val="21"/>
                <w:vertAlign w:val="baseline"/>
                <w:lang w:val="en-US" w:eastAsia="zh-CN"/>
              </w:rPr>
            </w:pPr>
            <w:r>
              <w:rPr>
                <w:rFonts w:hint="eastAsia"/>
                <w:sz w:val="21"/>
                <w:szCs w:val="21"/>
                <w:vertAlign w:val="baseline"/>
                <w:lang w:val="en-US" w:eastAsia="zh-CN"/>
              </w:rPr>
              <w:t>权重</w:t>
            </w:r>
          </w:p>
        </w:tc>
        <w:tc>
          <w:tcPr>
            <w:tcW w:w="2583" w:type="dxa"/>
            <w:vMerge w:val="restart"/>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eastAsiaTheme="minorEastAsia"/>
                <w:sz w:val="21"/>
                <w:szCs w:val="21"/>
                <w:vertAlign w:val="baseline"/>
                <w:lang w:val="en-US" w:eastAsia="zh-CN"/>
              </w:rPr>
            </w:pPr>
            <w:r>
              <w:rPr>
                <w:rFonts w:hint="eastAsia"/>
                <w:sz w:val="21"/>
                <w:szCs w:val="21"/>
                <w:vertAlign w:val="baseline"/>
                <w:lang w:val="en-US" w:eastAsia="zh-CN"/>
              </w:rPr>
              <w:t>三级指标</w:t>
            </w:r>
          </w:p>
        </w:tc>
        <w:tc>
          <w:tcPr>
            <w:tcW w:w="584" w:type="dxa"/>
            <w:vMerge w:val="restart"/>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eastAsiaTheme="minorEastAsia"/>
                <w:sz w:val="21"/>
                <w:szCs w:val="21"/>
                <w:vertAlign w:val="baseline"/>
                <w:lang w:val="en-US" w:eastAsia="zh-CN"/>
              </w:rPr>
            </w:pPr>
            <w:r>
              <w:rPr>
                <w:rFonts w:hint="eastAsia"/>
                <w:sz w:val="21"/>
                <w:szCs w:val="21"/>
                <w:vertAlign w:val="baseline"/>
                <w:lang w:val="en-US" w:eastAsia="zh-CN"/>
              </w:rPr>
              <w:t>权重</w:t>
            </w:r>
          </w:p>
        </w:tc>
        <w:tc>
          <w:tcPr>
            <w:tcW w:w="1852" w:type="dxa"/>
            <w:gridSpan w:val="3"/>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计算过程</w:t>
            </w:r>
          </w:p>
        </w:tc>
        <w:tc>
          <w:tcPr>
            <w:tcW w:w="717" w:type="dxa"/>
            <w:vMerge w:val="restart"/>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737"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p>
        </w:tc>
        <w:tc>
          <w:tcPr>
            <w:tcW w:w="110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eastAsiaTheme="minorEastAsia"/>
                <w:sz w:val="21"/>
                <w:szCs w:val="21"/>
                <w:vertAlign w:val="baseline"/>
                <w:lang w:val="en-US" w:eastAsia="zh-CN"/>
              </w:rPr>
            </w:pPr>
          </w:p>
        </w:tc>
        <w:tc>
          <w:tcPr>
            <w:tcW w:w="65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eastAsiaTheme="minorEastAsia"/>
                <w:sz w:val="21"/>
                <w:szCs w:val="21"/>
                <w:vertAlign w:val="baseline"/>
                <w:lang w:val="en-US" w:eastAsia="zh-CN"/>
              </w:rPr>
            </w:pPr>
          </w:p>
        </w:tc>
        <w:tc>
          <w:tcPr>
            <w:tcW w:w="2583"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eastAsiaTheme="minorEastAsia"/>
                <w:sz w:val="21"/>
                <w:szCs w:val="21"/>
                <w:vertAlign w:val="baseline"/>
                <w:lang w:val="en-US" w:eastAsia="zh-CN"/>
              </w:rPr>
            </w:pPr>
          </w:p>
        </w:tc>
        <w:tc>
          <w:tcPr>
            <w:tcW w:w="584"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eastAsiaTheme="minorEastAsia"/>
                <w:sz w:val="21"/>
                <w:szCs w:val="21"/>
                <w:vertAlign w:val="baseline"/>
                <w:lang w:val="en-US" w:eastAsia="zh-CN"/>
              </w:rPr>
            </w:pPr>
          </w:p>
        </w:tc>
        <w:tc>
          <w:tcPr>
            <w:tcW w:w="466"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eastAsiaTheme="minorEastAsia"/>
                <w:sz w:val="21"/>
                <w:szCs w:val="21"/>
                <w:vertAlign w:val="baseline"/>
                <w:lang w:val="en-US" w:eastAsia="zh-CN"/>
              </w:rPr>
            </w:pPr>
            <w:r>
              <w:rPr>
                <w:rFonts w:hint="eastAsia"/>
                <w:sz w:val="21"/>
                <w:szCs w:val="21"/>
                <w:vertAlign w:val="baseline"/>
                <w:lang w:val="en-US" w:eastAsia="zh-CN"/>
              </w:rPr>
              <w:t>现状值</w:t>
            </w:r>
          </w:p>
        </w:tc>
        <w:tc>
          <w:tcPr>
            <w:tcW w:w="484"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eastAsiaTheme="minorEastAsia"/>
                <w:sz w:val="21"/>
                <w:szCs w:val="21"/>
                <w:vertAlign w:val="baseline"/>
                <w:lang w:val="en-US" w:eastAsia="zh-CN"/>
              </w:rPr>
            </w:pPr>
            <w:r>
              <w:rPr>
                <w:rFonts w:hint="eastAsia"/>
                <w:sz w:val="21"/>
                <w:szCs w:val="21"/>
                <w:vertAlign w:val="baseline"/>
                <w:lang w:val="en-US" w:eastAsia="zh-CN"/>
              </w:rPr>
              <w:t>标准值</w:t>
            </w:r>
          </w:p>
        </w:tc>
        <w:tc>
          <w:tcPr>
            <w:tcW w:w="902"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指标标准化</w:t>
            </w:r>
          </w:p>
        </w:tc>
        <w:tc>
          <w:tcPr>
            <w:tcW w:w="71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restart"/>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工作成效指标/80%</w:t>
            </w:r>
          </w:p>
        </w:tc>
        <w:tc>
          <w:tcPr>
            <w:tcW w:w="1100" w:type="dxa"/>
            <w:vMerge w:val="restart"/>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土地利用率</w:t>
            </w:r>
          </w:p>
        </w:tc>
        <w:tc>
          <w:tcPr>
            <w:tcW w:w="650" w:type="dxa"/>
            <w:vMerge w:val="restart"/>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50%</w:t>
            </w:r>
          </w:p>
        </w:tc>
        <w:tc>
          <w:tcPr>
            <w:tcW w:w="2583"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地均产出强度</w:t>
            </w:r>
          </w:p>
        </w:tc>
        <w:tc>
          <w:tcPr>
            <w:tcW w:w="5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66"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902"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71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10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65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2583"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eastAsiaTheme="minorEastAsia"/>
                <w:sz w:val="21"/>
                <w:szCs w:val="21"/>
                <w:vertAlign w:val="baseline"/>
                <w:lang w:val="en-US" w:eastAsia="zh-CN"/>
              </w:rPr>
            </w:pPr>
            <w:r>
              <w:rPr>
                <w:rFonts w:hint="eastAsia"/>
                <w:sz w:val="21"/>
                <w:szCs w:val="21"/>
                <w:vertAlign w:val="baseline"/>
                <w:lang w:val="en-US" w:eastAsia="zh-CN"/>
              </w:rPr>
              <w:t>地均产出强度</w:t>
            </w:r>
          </w:p>
        </w:tc>
        <w:tc>
          <w:tcPr>
            <w:tcW w:w="5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66"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902"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71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10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65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2583"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left"/>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新增建设用地地均固定资产投资</w:t>
            </w:r>
          </w:p>
        </w:tc>
        <w:tc>
          <w:tcPr>
            <w:tcW w:w="5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66"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902"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71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10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65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2583"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土地供应率</w:t>
            </w:r>
          </w:p>
        </w:tc>
        <w:tc>
          <w:tcPr>
            <w:tcW w:w="5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66"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902"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71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10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65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2583"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土地有偿使用率</w:t>
            </w:r>
          </w:p>
        </w:tc>
        <w:tc>
          <w:tcPr>
            <w:tcW w:w="5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66"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902"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71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10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65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2583"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存量土地供应率</w:t>
            </w:r>
          </w:p>
        </w:tc>
        <w:tc>
          <w:tcPr>
            <w:tcW w:w="5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66"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902"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71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100" w:type="dxa"/>
            <w:vMerge w:val="restart"/>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耕地保护效率</w:t>
            </w:r>
          </w:p>
        </w:tc>
        <w:tc>
          <w:tcPr>
            <w:tcW w:w="650" w:type="dxa"/>
            <w:vMerge w:val="restart"/>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16%</w:t>
            </w:r>
          </w:p>
        </w:tc>
        <w:tc>
          <w:tcPr>
            <w:tcW w:w="2583"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耕地保护情况</w:t>
            </w:r>
          </w:p>
        </w:tc>
        <w:tc>
          <w:tcPr>
            <w:tcW w:w="5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66"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902"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71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10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65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2583"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基本农田保护情况</w:t>
            </w:r>
          </w:p>
        </w:tc>
        <w:tc>
          <w:tcPr>
            <w:tcW w:w="5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66"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902"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71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10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65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2583"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耕地占补平衡情况</w:t>
            </w:r>
          </w:p>
        </w:tc>
        <w:tc>
          <w:tcPr>
            <w:tcW w:w="5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66"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902"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71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10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65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2583"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left"/>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耕地占补平衡表土剥离利用和建设项目土地复垦情况</w:t>
            </w:r>
          </w:p>
        </w:tc>
        <w:tc>
          <w:tcPr>
            <w:tcW w:w="5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66"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902"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71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100" w:type="dxa"/>
            <w:vMerge w:val="restart"/>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土地规划执行情况</w:t>
            </w:r>
          </w:p>
        </w:tc>
        <w:tc>
          <w:tcPr>
            <w:tcW w:w="650" w:type="dxa"/>
            <w:vMerge w:val="restart"/>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16%</w:t>
            </w:r>
          </w:p>
        </w:tc>
        <w:tc>
          <w:tcPr>
            <w:tcW w:w="2583"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规划信息公开情况</w:t>
            </w:r>
          </w:p>
        </w:tc>
        <w:tc>
          <w:tcPr>
            <w:tcW w:w="5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66"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902"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71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10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65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2583"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left"/>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公众参与规划调整和修改情况</w:t>
            </w:r>
          </w:p>
        </w:tc>
        <w:tc>
          <w:tcPr>
            <w:tcW w:w="5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66"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902"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71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10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65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2583"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规划实施情况</w:t>
            </w:r>
          </w:p>
        </w:tc>
        <w:tc>
          <w:tcPr>
            <w:tcW w:w="5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66"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902"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71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10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65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2583"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left"/>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土地利用年度计划执行情况</w:t>
            </w:r>
          </w:p>
        </w:tc>
        <w:tc>
          <w:tcPr>
            <w:tcW w:w="5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66"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902"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71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100" w:type="dxa"/>
            <w:vMerge w:val="restart"/>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eastAsiaTheme="minorEastAsia"/>
                <w:sz w:val="21"/>
                <w:szCs w:val="21"/>
                <w:vertAlign w:val="baseline"/>
                <w:lang w:val="en-US" w:eastAsia="zh-CN"/>
              </w:rPr>
            </w:pPr>
            <w:r>
              <w:rPr>
                <w:rFonts w:hint="eastAsia"/>
                <w:sz w:val="21"/>
                <w:szCs w:val="21"/>
                <w:vertAlign w:val="baseline"/>
                <w:lang w:val="en-US" w:eastAsia="zh-CN"/>
              </w:rPr>
              <w:t>地籍管理</w:t>
            </w:r>
          </w:p>
        </w:tc>
        <w:tc>
          <w:tcPr>
            <w:tcW w:w="650" w:type="dxa"/>
            <w:vMerge w:val="restart"/>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10%</w:t>
            </w:r>
          </w:p>
        </w:tc>
        <w:tc>
          <w:tcPr>
            <w:tcW w:w="2583"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left"/>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不动产登记职责整合完成情况</w:t>
            </w:r>
          </w:p>
        </w:tc>
        <w:tc>
          <w:tcPr>
            <w:tcW w:w="5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66"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902"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71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7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10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65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2583"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变更调整成果质量情况</w:t>
            </w:r>
          </w:p>
        </w:tc>
        <w:tc>
          <w:tcPr>
            <w:tcW w:w="5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66"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902"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71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7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100" w:type="dxa"/>
            <w:vMerge w:val="restart"/>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sz w:val="21"/>
                <w:szCs w:val="21"/>
                <w:vertAlign w:val="baseline"/>
                <w:lang w:val="en-US" w:eastAsia="zh-CN"/>
              </w:rPr>
            </w:pPr>
            <w:r>
              <w:rPr>
                <w:rFonts w:hint="eastAsia"/>
                <w:sz w:val="21"/>
                <w:szCs w:val="21"/>
                <w:vertAlign w:val="baseline"/>
                <w:lang w:val="en-US" w:eastAsia="zh-CN"/>
              </w:rPr>
              <w:t>土地市场基础建设状况</w:t>
            </w:r>
          </w:p>
        </w:tc>
        <w:tc>
          <w:tcPr>
            <w:tcW w:w="650" w:type="dxa"/>
            <w:vMerge w:val="restart"/>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sz w:val="21"/>
                <w:szCs w:val="21"/>
                <w:vertAlign w:val="baseline"/>
                <w:lang w:val="en-US" w:eastAsia="zh-CN"/>
              </w:rPr>
            </w:pPr>
            <w:r>
              <w:rPr>
                <w:rFonts w:hint="eastAsia"/>
                <w:sz w:val="21"/>
                <w:szCs w:val="21"/>
                <w:vertAlign w:val="baseline"/>
                <w:lang w:val="en-US" w:eastAsia="zh-CN"/>
              </w:rPr>
              <w:t>3%</w:t>
            </w:r>
          </w:p>
        </w:tc>
        <w:tc>
          <w:tcPr>
            <w:tcW w:w="2583" w:type="dxa"/>
            <w:vAlign w:val="top"/>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基准地价定期更新</w:t>
            </w:r>
          </w:p>
        </w:tc>
        <w:tc>
          <w:tcPr>
            <w:tcW w:w="5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66"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902"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71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7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10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lang w:val="en-US" w:eastAsia="zh-CN"/>
              </w:rPr>
            </w:pPr>
          </w:p>
        </w:tc>
        <w:tc>
          <w:tcPr>
            <w:tcW w:w="650"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lang w:val="en-US" w:eastAsia="zh-CN"/>
              </w:rPr>
            </w:pPr>
          </w:p>
        </w:tc>
        <w:tc>
          <w:tcPr>
            <w:tcW w:w="2583"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出让地价评估制度落实率</w:t>
            </w:r>
          </w:p>
        </w:tc>
        <w:tc>
          <w:tcPr>
            <w:tcW w:w="5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66"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902"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71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100"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ind w:left="0" w:leftChars="0" w:firstLine="0" w:firstLineChars="0"/>
              <w:jc w:val="center"/>
              <w:textAlignment w:val="auto"/>
              <w:rPr>
                <w:rFonts w:hint="eastAsia" w:asciiTheme="minorHAnsi" w:hAnsiTheme="minorHAnsi" w:eastAsiaTheme="minorEastAsia" w:cstheme="minorBidi"/>
                <w:kern w:val="2"/>
                <w:sz w:val="21"/>
                <w:szCs w:val="21"/>
                <w:vertAlign w:val="baseline"/>
                <w:lang w:val="en-US" w:eastAsia="zh-CN" w:bidi="ar-SA"/>
              </w:rPr>
            </w:pPr>
          </w:p>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土地资源违法情况</w:t>
            </w:r>
          </w:p>
        </w:tc>
        <w:tc>
          <w:tcPr>
            <w:tcW w:w="650"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ind w:left="0" w:leftChars="0" w:firstLine="0" w:firstLineChars="0"/>
              <w:jc w:val="center"/>
              <w:textAlignment w:val="auto"/>
              <w:rPr>
                <w:rFonts w:hint="eastAsia" w:asciiTheme="minorHAnsi" w:hAnsiTheme="minorHAnsi" w:eastAsiaTheme="minorEastAsia" w:cstheme="minorBidi"/>
                <w:kern w:val="2"/>
                <w:sz w:val="21"/>
                <w:szCs w:val="21"/>
                <w:vertAlign w:val="baseline"/>
                <w:lang w:val="en-US" w:eastAsia="zh-CN" w:bidi="ar-SA"/>
              </w:rPr>
            </w:pPr>
          </w:p>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5%</w:t>
            </w:r>
          </w:p>
        </w:tc>
        <w:tc>
          <w:tcPr>
            <w:tcW w:w="2583"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ind w:left="0" w:leftChars="0" w:firstLine="0" w:firstLineChars="0"/>
              <w:jc w:val="center"/>
              <w:textAlignment w:val="auto"/>
              <w:rPr>
                <w:rFonts w:hint="default"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val="en-US" w:eastAsia="zh-CN"/>
              </w:rPr>
              <w:t>土地违法情况</w:t>
            </w:r>
          </w:p>
        </w:tc>
        <w:tc>
          <w:tcPr>
            <w:tcW w:w="5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66"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902"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71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333" w:type="dxa"/>
            <w:gridSpan w:val="3"/>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both"/>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工作成效指标满分</w:t>
            </w:r>
          </w:p>
        </w:tc>
        <w:tc>
          <w:tcPr>
            <w:tcW w:w="5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66"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84"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902"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71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bl>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ind w:leftChars="0"/>
        <w:textAlignment w:val="auto"/>
        <w:rPr>
          <w:rFonts w:hint="default" w:eastAsiaTheme="minorEastAsia"/>
          <w:b/>
          <w:bCs/>
          <w:sz w:val="24"/>
          <w:szCs w:val="24"/>
          <w:lang w:val="en-US" w:eastAsia="zh-CN"/>
        </w:rPr>
      </w:pPr>
      <w:r>
        <w:rPr>
          <w:rFonts w:hint="eastAsia"/>
          <w:b/>
          <w:bCs/>
          <w:sz w:val="24"/>
          <w:szCs w:val="24"/>
          <w:lang w:val="en-US" w:eastAsia="zh-CN"/>
        </w:rPr>
        <w:t>二、行动考核指标体系评分办法表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1483"/>
        <w:gridCol w:w="3044"/>
        <w:gridCol w:w="906"/>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937" w:type="dxa"/>
            <w:vMerge w:val="restart"/>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必选指标/权重</w:t>
            </w:r>
          </w:p>
        </w:tc>
        <w:tc>
          <w:tcPr>
            <w:tcW w:w="1483" w:type="dxa"/>
            <w:vMerge w:val="restart"/>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eastAsiaTheme="minorEastAsia"/>
                <w:sz w:val="21"/>
                <w:szCs w:val="21"/>
                <w:vertAlign w:val="baseline"/>
                <w:lang w:val="en-US" w:eastAsia="zh-CN"/>
              </w:rPr>
            </w:pPr>
            <w:r>
              <w:rPr>
                <w:rFonts w:hint="eastAsia"/>
                <w:sz w:val="21"/>
                <w:szCs w:val="21"/>
                <w:vertAlign w:val="baseline"/>
                <w:lang w:val="en-US" w:eastAsia="zh-CN"/>
              </w:rPr>
              <w:t>二级指标</w:t>
            </w:r>
          </w:p>
        </w:tc>
        <w:tc>
          <w:tcPr>
            <w:tcW w:w="3044" w:type="dxa"/>
            <w:vMerge w:val="restart"/>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eastAsiaTheme="minorEastAsia"/>
                <w:sz w:val="21"/>
                <w:szCs w:val="21"/>
                <w:vertAlign w:val="baseline"/>
                <w:lang w:val="en-US" w:eastAsia="zh-CN"/>
              </w:rPr>
            </w:pPr>
            <w:r>
              <w:rPr>
                <w:rFonts w:hint="eastAsia"/>
                <w:sz w:val="21"/>
                <w:szCs w:val="21"/>
                <w:vertAlign w:val="baseline"/>
                <w:lang w:val="en-US" w:eastAsia="zh-CN"/>
              </w:rPr>
              <w:t>三级指标</w:t>
            </w:r>
          </w:p>
        </w:tc>
        <w:tc>
          <w:tcPr>
            <w:tcW w:w="1773" w:type="dxa"/>
            <w:gridSpan w:val="2"/>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评分单位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1937"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p>
        </w:tc>
        <w:tc>
          <w:tcPr>
            <w:tcW w:w="1483"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eastAsiaTheme="minorEastAsia"/>
                <w:sz w:val="21"/>
                <w:szCs w:val="21"/>
                <w:vertAlign w:val="baseline"/>
                <w:lang w:val="en-US" w:eastAsia="zh-CN"/>
              </w:rPr>
            </w:pPr>
          </w:p>
        </w:tc>
        <w:tc>
          <w:tcPr>
            <w:tcW w:w="3044"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eastAsiaTheme="minorEastAsia"/>
                <w:sz w:val="21"/>
                <w:szCs w:val="21"/>
                <w:vertAlign w:val="baseline"/>
                <w:lang w:val="en-US" w:eastAsia="zh-CN"/>
              </w:rPr>
            </w:pPr>
          </w:p>
        </w:tc>
        <w:tc>
          <w:tcPr>
            <w:tcW w:w="906"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满分</w:t>
            </w:r>
          </w:p>
        </w:tc>
        <w:tc>
          <w:tcPr>
            <w:tcW w:w="867"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937" w:type="dxa"/>
            <w:vMerge w:val="restart"/>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行动指标/20%</w:t>
            </w:r>
          </w:p>
        </w:tc>
        <w:tc>
          <w:tcPr>
            <w:tcW w:w="1483" w:type="dxa"/>
            <w:vMerge w:val="restart"/>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工作组织</w:t>
            </w:r>
          </w:p>
        </w:tc>
        <w:tc>
          <w:tcPr>
            <w:tcW w:w="3044"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单位主管领导牵头负责</w:t>
            </w:r>
          </w:p>
        </w:tc>
        <w:tc>
          <w:tcPr>
            <w:tcW w:w="906"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40</w:t>
            </w:r>
          </w:p>
        </w:tc>
        <w:tc>
          <w:tcPr>
            <w:tcW w:w="86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9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483"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3044"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主管科（股）室领导牵头负责</w:t>
            </w:r>
          </w:p>
        </w:tc>
        <w:tc>
          <w:tcPr>
            <w:tcW w:w="906"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25</w:t>
            </w:r>
          </w:p>
        </w:tc>
        <w:tc>
          <w:tcPr>
            <w:tcW w:w="86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9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483"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3044"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简单参与</w:t>
            </w:r>
          </w:p>
        </w:tc>
        <w:tc>
          <w:tcPr>
            <w:tcW w:w="906"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18</w:t>
            </w:r>
          </w:p>
        </w:tc>
        <w:tc>
          <w:tcPr>
            <w:tcW w:w="86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9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483"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3044"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未参与</w:t>
            </w:r>
          </w:p>
        </w:tc>
        <w:tc>
          <w:tcPr>
            <w:tcW w:w="906"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eastAsiaTheme="minorEastAsia"/>
                <w:sz w:val="21"/>
                <w:szCs w:val="21"/>
                <w:vertAlign w:val="baseline"/>
                <w:lang w:val="en-US" w:eastAsia="zh-CN"/>
              </w:rPr>
            </w:pPr>
            <w:r>
              <w:rPr>
                <w:rFonts w:hint="eastAsia"/>
                <w:sz w:val="21"/>
                <w:szCs w:val="21"/>
                <w:vertAlign w:val="baseline"/>
                <w:lang w:val="en-US" w:eastAsia="zh-CN"/>
              </w:rPr>
              <w:t>0</w:t>
            </w:r>
          </w:p>
        </w:tc>
        <w:tc>
          <w:tcPr>
            <w:tcW w:w="86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9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483" w:type="dxa"/>
            <w:vMerge w:val="restart"/>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方案设计</w:t>
            </w:r>
          </w:p>
        </w:tc>
        <w:tc>
          <w:tcPr>
            <w:tcW w:w="3044"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专门办事人员设计</w:t>
            </w:r>
          </w:p>
        </w:tc>
        <w:tc>
          <w:tcPr>
            <w:tcW w:w="906"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15</w:t>
            </w:r>
          </w:p>
        </w:tc>
        <w:tc>
          <w:tcPr>
            <w:tcW w:w="86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483"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3044"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未设计</w:t>
            </w:r>
          </w:p>
        </w:tc>
        <w:tc>
          <w:tcPr>
            <w:tcW w:w="906"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eastAsiaTheme="minorEastAsia"/>
                <w:sz w:val="21"/>
                <w:szCs w:val="21"/>
                <w:vertAlign w:val="baseline"/>
                <w:lang w:val="en-US" w:eastAsia="zh-CN"/>
              </w:rPr>
            </w:pPr>
            <w:r>
              <w:rPr>
                <w:rFonts w:hint="eastAsia"/>
                <w:sz w:val="21"/>
                <w:szCs w:val="21"/>
                <w:vertAlign w:val="baseline"/>
                <w:lang w:val="en-US" w:eastAsia="zh-CN"/>
              </w:rPr>
              <w:t>0</w:t>
            </w:r>
          </w:p>
        </w:tc>
        <w:tc>
          <w:tcPr>
            <w:tcW w:w="86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9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483" w:type="dxa"/>
            <w:vMerge w:val="restart"/>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制度建设</w:t>
            </w:r>
          </w:p>
        </w:tc>
        <w:tc>
          <w:tcPr>
            <w:tcW w:w="3044"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left"/>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在部门实际管理工作中贯彻土地节约集约利用，建立长效工作机制并出台文件</w:t>
            </w:r>
          </w:p>
        </w:tc>
        <w:tc>
          <w:tcPr>
            <w:tcW w:w="906"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25</w:t>
            </w:r>
          </w:p>
        </w:tc>
        <w:tc>
          <w:tcPr>
            <w:tcW w:w="86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9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483"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3044"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left"/>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在部门实际管理工作中贯彻土地节约集约利用，尝试建立长效工作机制</w:t>
            </w:r>
          </w:p>
        </w:tc>
        <w:tc>
          <w:tcPr>
            <w:tcW w:w="906"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eastAsiaTheme="minorEastAsia"/>
                <w:sz w:val="21"/>
                <w:szCs w:val="21"/>
                <w:vertAlign w:val="baseline"/>
                <w:lang w:val="en-US" w:eastAsia="zh-CN"/>
              </w:rPr>
            </w:pPr>
            <w:r>
              <w:rPr>
                <w:rFonts w:hint="eastAsia"/>
                <w:sz w:val="21"/>
                <w:szCs w:val="21"/>
                <w:vertAlign w:val="baseline"/>
                <w:lang w:val="en-US" w:eastAsia="zh-CN"/>
              </w:rPr>
              <w:t>9</w:t>
            </w:r>
          </w:p>
        </w:tc>
        <w:tc>
          <w:tcPr>
            <w:tcW w:w="86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9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483"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3044"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未对现有工作机制做任何完善</w:t>
            </w:r>
          </w:p>
        </w:tc>
        <w:tc>
          <w:tcPr>
            <w:tcW w:w="906"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eastAsiaTheme="minorEastAsia"/>
                <w:sz w:val="21"/>
                <w:szCs w:val="21"/>
                <w:vertAlign w:val="baseline"/>
                <w:lang w:val="en-US" w:eastAsia="zh-CN"/>
              </w:rPr>
            </w:pPr>
            <w:r>
              <w:rPr>
                <w:rFonts w:hint="eastAsia"/>
                <w:sz w:val="21"/>
                <w:szCs w:val="21"/>
                <w:vertAlign w:val="baseline"/>
                <w:lang w:val="en-US" w:eastAsia="zh-CN"/>
              </w:rPr>
              <w:t>0</w:t>
            </w:r>
          </w:p>
        </w:tc>
        <w:tc>
          <w:tcPr>
            <w:tcW w:w="86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9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483" w:type="dxa"/>
            <w:vMerge w:val="restart"/>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舆论宣传</w:t>
            </w:r>
          </w:p>
        </w:tc>
        <w:tc>
          <w:tcPr>
            <w:tcW w:w="3044"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社会公开宣传</w:t>
            </w:r>
          </w:p>
        </w:tc>
        <w:tc>
          <w:tcPr>
            <w:tcW w:w="906"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20</w:t>
            </w:r>
          </w:p>
        </w:tc>
        <w:tc>
          <w:tcPr>
            <w:tcW w:w="86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9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1483" w:type="dxa"/>
            <w:vMerge w:val="continue"/>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3044"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系统内部宣传</w:t>
            </w:r>
          </w:p>
        </w:tc>
        <w:tc>
          <w:tcPr>
            <w:tcW w:w="906"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16</w:t>
            </w:r>
          </w:p>
        </w:tc>
        <w:tc>
          <w:tcPr>
            <w:tcW w:w="867" w:type="dxa"/>
            <w:vMerge w:val="restart"/>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937" w:type="dxa"/>
            <w:vMerge w:val="continue"/>
          </w:tcPr>
          <w:p>
            <w:pPr>
              <w:keepNext w:val="0"/>
              <w:keepLines w:val="0"/>
              <w:pageBreakBefore w:val="0"/>
              <w:widowControl w:val="0"/>
              <w:kinsoku/>
              <w:overflowPunct/>
              <w:topLinePunct w:val="0"/>
              <w:autoSpaceDE/>
              <w:autoSpaceDN/>
              <w:bidi w:val="0"/>
              <w:adjustRightInd w:val="0"/>
              <w:snapToGrid w:val="0"/>
              <w:spacing w:line="570" w:lineRule="atLeast"/>
              <w:jc w:val="center"/>
              <w:textAlignment w:val="auto"/>
              <w:rPr>
                <w:sz w:val="21"/>
                <w:szCs w:val="21"/>
              </w:rPr>
            </w:pPr>
          </w:p>
        </w:tc>
        <w:tc>
          <w:tcPr>
            <w:tcW w:w="1483" w:type="dxa"/>
            <w:vMerge w:val="continue"/>
            <w:vAlign w:val="center"/>
          </w:tcPr>
          <w:p>
            <w:pPr>
              <w:keepNext w:val="0"/>
              <w:keepLines w:val="0"/>
              <w:pageBreakBefore w:val="0"/>
              <w:widowControl w:val="0"/>
              <w:kinsoku/>
              <w:overflowPunct/>
              <w:topLinePunct w:val="0"/>
              <w:autoSpaceDE/>
              <w:autoSpaceDN/>
              <w:bidi w:val="0"/>
              <w:adjustRightInd w:val="0"/>
              <w:snapToGrid w:val="0"/>
              <w:spacing w:line="570" w:lineRule="atLeast"/>
              <w:jc w:val="center"/>
              <w:textAlignment w:val="auto"/>
              <w:rPr>
                <w:sz w:val="21"/>
                <w:szCs w:val="21"/>
              </w:rPr>
            </w:pPr>
          </w:p>
        </w:tc>
        <w:tc>
          <w:tcPr>
            <w:tcW w:w="3044"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sz w:val="21"/>
                <w:szCs w:val="21"/>
                <w:vertAlign w:val="baseline"/>
                <w:lang w:val="en-US" w:eastAsia="zh-CN"/>
              </w:rPr>
            </w:pPr>
            <w:r>
              <w:rPr>
                <w:rFonts w:hint="eastAsia"/>
                <w:sz w:val="21"/>
                <w:szCs w:val="21"/>
                <w:vertAlign w:val="baseline"/>
                <w:lang w:val="en-US" w:eastAsia="zh-CN"/>
              </w:rPr>
              <w:t>单位内部宣传</w:t>
            </w:r>
          </w:p>
        </w:tc>
        <w:tc>
          <w:tcPr>
            <w:tcW w:w="906" w:type="dxa"/>
            <w:vAlign w:val="center"/>
          </w:tcPr>
          <w:p>
            <w:pPr>
              <w:keepNext w:val="0"/>
              <w:keepLines w:val="0"/>
              <w:pageBreakBefore w:val="0"/>
              <w:widowControl w:val="0"/>
              <w:kinsoku/>
              <w:overflowPunct/>
              <w:topLinePunct w:val="0"/>
              <w:autoSpaceDE/>
              <w:autoSpaceDN/>
              <w:bidi w:val="0"/>
              <w:adjustRightInd w:val="0"/>
              <w:snapToGrid w:val="0"/>
              <w:spacing w:line="570" w:lineRule="atLeast"/>
              <w:jc w:val="center"/>
              <w:textAlignment w:val="auto"/>
              <w:rPr>
                <w:rFonts w:hint="default"/>
                <w:sz w:val="21"/>
                <w:szCs w:val="21"/>
                <w:vertAlign w:val="baseline"/>
                <w:lang w:val="en-US" w:eastAsia="zh-CN"/>
              </w:rPr>
            </w:pPr>
            <w:r>
              <w:rPr>
                <w:rFonts w:hint="eastAsia"/>
                <w:sz w:val="21"/>
                <w:szCs w:val="21"/>
                <w:vertAlign w:val="baseline"/>
                <w:lang w:val="en-US" w:eastAsia="zh-CN"/>
              </w:rPr>
              <w:t>14</w:t>
            </w:r>
          </w:p>
        </w:tc>
        <w:tc>
          <w:tcPr>
            <w:tcW w:w="867" w:type="dxa"/>
            <w:vMerge w:val="continue"/>
          </w:tcPr>
          <w:p>
            <w:pPr>
              <w:keepNext w:val="0"/>
              <w:keepLines w:val="0"/>
              <w:pageBreakBefore w:val="0"/>
              <w:widowControl w:val="0"/>
              <w:kinsoku/>
              <w:overflowPunct/>
              <w:topLinePunct w:val="0"/>
              <w:autoSpaceDE/>
              <w:autoSpaceDN/>
              <w:bidi w:val="0"/>
              <w:adjustRightInd w:val="0"/>
              <w:snapToGrid w:val="0"/>
              <w:spacing w:line="570" w:lineRule="atLeast"/>
              <w:jc w:val="center"/>
              <w:textAlignment w:val="auto"/>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937" w:type="dxa"/>
            <w:vMerge w:val="continue"/>
          </w:tcPr>
          <w:p>
            <w:pPr>
              <w:keepNext w:val="0"/>
              <w:keepLines w:val="0"/>
              <w:pageBreakBefore w:val="0"/>
              <w:widowControl w:val="0"/>
              <w:kinsoku/>
              <w:overflowPunct/>
              <w:topLinePunct w:val="0"/>
              <w:autoSpaceDE/>
              <w:autoSpaceDN/>
              <w:bidi w:val="0"/>
              <w:adjustRightInd w:val="0"/>
              <w:snapToGrid w:val="0"/>
              <w:spacing w:line="570" w:lineRule="atLeast"/>
              <w:jc w:val="center"/>
              <w:textAlignment w:val="auto"/>
              <w:rPr>
                <w:sz w:val="21"/>
                <w:szCs w:val="21"/>
              </w:rPr>
            </w:pPr>
          </w:p>
        </w:tc>
        <w:tc>
          <w:tcPr>
            <w:tcW w:w="1483" w:type="dxa"/>
            <w:vMerge w:val="continue"/>
            <w:vAlign w:val="center"/>
          </w:tcPr>
          <w:p>
            <w:pPr>
              <w:keepNext w:val="0"/>
              <w:keepLines w:val="0"/>
              <w:pageBreakBefore w:val="0"/>
              <w:widowControl w:val="0"/>
              <w:kinsoku/>
              <w:overflowPunct/>
              <w:topLinePunct w:val="0"/>
              <w:autoSpaceDE/>
              <w:autoSpaceDN/>
              <w:bidi w:val="0"/>
              <w:adjustRightInd w:val="0"/>
              <w:snapToGrid w:val="0"/>
              <w:spacing w:line="570" w:lineRule="atLeast"/>
              <w:jc w:val="center"/>
              <w:textAlignment w:val="auto"/>
              <w:rPr>
                <w:sz w:val="21"/>
                <w:szCs w:val="21"/>
              </w:rPr>
            </w:pPr>
          </w:p>
        </w:tc>
        <w:tc>
          <w:tcPr>
            <w:tcW w:w="3044"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sz w:val="21"/>
                <w:szCs w:val="21"/>
                <w:vertAlign w:val="baseline"/>
                <w:lang w:val="en-US" w:eastAsia="zh-CN"/>
              </w:rPr>
            </w:pPr>
            <w:r>
              <w:rPr>
                <w:rFonts w:hint="eastAsia"/>
                <w:sz w:val="21"/>
                <w:szCs w:val="21"/>
                <w:vertAlign w:val="baseline"/>
                <w:lang w:val="en-US" w:eastAsia="zh-CN"/>
              </w:rPr>
              <w:t>未宣传</w:t>
            </w:r>
          </w:p>
        </w:tc>
        <w:tc>
          <w:tcPr>
            <w:tcW w:w="906" w:type="dxa"/>
            <w:vAlign w:val="center"/>
          </w:tcPr>
          <w:p>
            <w:pPr>
              <w:keepNext w:val="0"/>
              <w:keepLines w:val="0"/>
              <w:pageBreakBefore w:val="0"/>
              <w:widowControl w:val="0"/>
              <w:kinsoku/>
              <w:overflowPunct/>
              <w:topLinePunct w:val="0"/>
              <w:autoSpaceDE/>
              <w:autoSpaceDN/>
              <w:bidi w:val="0"/>
              <w:adjustRightInd w:val="0"/>
              <w:snapToGrid w:val="0"/>
              <w:spacing w:line="570" w:lineRule="atLeast"/>
              <w:jc w:val="center"/>
              <w:textAlignment w:val="auto"/>
              <w:rPr>
                <w:rFonts w:hint="default"/>
                <w:sz w:val="21"/>
                <w:szCs w:val="21"/>
                <w:vertAlign w:val="baseline"/>
                <w:lang w:val="en-US" w:eastAsia="zh-CN"/>
              </w:rPr>
            </w:pPr>
            <w:r>
              <w:rPr>
                <w:rFonts w:hint="eastAsia"/>
                <w:sz w:val="21"/>
                <w:szCs w:val="21"/>
                <w:vertAlign w:val="baseline"/>
                <w:lang w:val="en-US" w:eastAsia="zh-CN"/>
              </w:rPr>
              <w:t>0</w:t>
            </w:r>
          </w:p>
        </w:tc>
        <w:tc>
          <w:tcPr>
            <w:tcW w:w="867" w:type="dxa"/>
            <w:vMerge w:val="continue"/>
          </w:tcPr>
          <w:p>
            <w:pPr>
              <w:keepNext w:val="0"/>
              <w:keepLines w:val="0"/>
              <w:pageBreakBefore w:val="0"/>
              <w:widowControl w:val="0"/>
              <w:kinsoku/>
              <w:overflowPunct/>
              <w:topLinePunct w:val="0"/>
              <w:autoSpaceDE/>
              <w:autoSpaceDN/>
              <w:bidi w:val="0"/>
              <w:adjustRightInd w:val="0"/>
              <w:snapToGrid w:val="0"/>
              <w:spacing w:line="570" w:lineRule="atLeast"/>
              <w:jc w:val="center"/>
              <w:textAlignment w:val="auto"/>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937" w:type="dxa"/>
            <w:vMerge w:val="continue"/>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c>
          <w:tcPr>
            <w:tcW w:w="4527" w:type="dxa"/>
            <w:gridSpan w:val="2"/>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ind w:left="0" w:leftChars="0" w:firstLine="0" w:firstLineChars="0"/>
              <w:jc w:val="center"/>
              <w:textAlignment w:val="auto"/>
              <w:rPr>
                <w:rFonts w:hint="default" w:asciiTheme="minorHAnsi" w:hAnsiTheme="minorHAnsi" w:eastAsiaTheme="minorEastAsia" w:cstheme="minorBidi"/>
                <w:kern w:val="2"/>
                <w:sz w:val="21"/>
                <w:szCs w:val="21"/>
                <w:vertAlign w:val="baseline"/>
                <w:lang w:val="en-US" w:eastAsia="zh-CN" w:bidi="ar-SA"/>
              </w:rPr>
            </w:pPr>
            <w:r>
              <w:rPr>
                <w:rFonts w:hint="eastAsia" w:cstheme="minorBidi"/>
                <w:kern w:val="2"/>
                <w:sz w:val="21"/>
                <w:szCs w:val="21"/>
                <w:vertAlign w:val="baseline"/>
                <w:lang w:val="en-US" w:eastAsia="zh-CN" w:bidi="ar-SA"/>
              </w:rPr>
              <w:t>行动指标满分</w:t>
            </w:r>
          </w:p>
        </w:tc>
        <w:tc>
          <w:tcPr>
            <w:tcW w:w="906" w:type="dxa"/>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default" w:eastAsiaTheme="minorEastAsia"/>
                <w:sz w:val="21"/>
                <w:szCs w:val="21"/>
                <w:vertAlign w:val="baseline"/>
                <w:lang w:val="en-US" w:eastAsia="zh-CN"/>
              </w:rPr>
            </w:pPr>
            <w:r>
              <w:rPr>
                <w:rFonts w:hint="eastAsia"/>
                <w:sz w:val="21"/>
                <w:szCs w:val="21"/>
                <w:vertAlign w:val="baseline"/>
                <w:lang w:val="en-US" w:eastAsia="zh-CN"/>
              </w:rPr>
              <w:t>100</w:t>
            </w:r>
          </w:p>
        </w:tc>
        <w:tc>
          <w:tcPr>
            <w:tcW w:w="867" w:type="dxa"/>
          </w:tcPr>
          <w:p>
            <w:pPr>
              <w:keepNext w:val="0"/>
              <w:keepLines w:val="0"/>
              <w:pageBreakBefore w:val="0"/>
              <w:widowControl w:val="0"/>
              <w:numPr>
                <w:ilvl w:val="0"/>
                <w:numId w:val="0"/>
              </w:numPr>
              <w:kinsoku/>
              <w:overflowPunct/>
              <w:topLinePunct w:val="0"/>
              <w:autoSpaceDE/>
              <w:autoSpaceDN/>
              <w:bidi w:val="0"/>
              <w:adjustRightInd w:val="0"/>
              <w:snapToGrid w:val="0"/>
              <w:spacing w:line="570" w:lineRule="atLeast"/>
              <w:jc w:val="center"/>
              <w:textAlignment w:val="auto"/>
              <w:rPr>
                <w:rFonts w:hint="eastAsia"/>
                <w:sz w:val="21"/>
                <w:szCs w:val="21"/>
                <w:vertAlign w:val="baseline"/>
              </w:rPr>
            </w:pPr>
          </w:p>
        </w:tc>
      </w:tr>
    </w:tbl>
    <w:p>
      <w:pPr>
        <w:keepNext w:val="0"/>
        <w:keepLines w:val="0"/>
        <w:pageBreakBefore w:val="0"/>
        <w:widowControl w:val="0"/>
        <w:kinsoku/>
        <w:wordWrap w:val="0"/>
        <w:overflowPunct/>
        <w:topLinePunct w:val="0"/>
        <w:autoSpaceDE/>
        <w:autoSpaceDN/>
        <w:bidi w:val="0"/>
        <w:adjustRightInd w:val="0"/>
        <w:snapToGrid w:val="0"/>
        <w:spacing w:line="570" w:lineRule="atLeast"/>
        <w:jc w:val="both"/>
        <w:textAlignment w:val="auto"/>
        <w:outlineLvl w:val="9"/>
        <w:rPr>
          <w:rFonts w:hint="eastAsia" w:ascii="仿宋_GB2312" w:hAnsi="仿宋_GB2312" w:eastAsia="仿宋_GB2312" w:cs="仿宋_GB2312"/>
          <w:color w:val="000000"/>
          <w:sz w:val="32"/>
          <w:szCs w:val="32"/>
          <w:shd w:val="clear" w:color="auto" w:fill="FFFFFF"/>
          <w:lang w:val="en-US" w:eastAsia="zh-CN"/>
        </w:rPr>
      </w:pPr>
    </w:p>
    <w:p>
      <w:pPr>
        <w:keepNext w:val="0"/>
        <w:keepLines w:val="0"/>
        <w:pageBreakBefore w:val="0"/>
        <w:widowControl w:val="0"/>
        <w:kinsoku/>
        <w:wordWrap w:val="0"/>
        <w:overflowPunct/>
        <w:topLinePunct w:val="0"/>
        <w:autoSpaceDE/>
        <w:autoSpaceDN/>
        <w:bidi w:val="0"/>
        <w:adjustRightInd w:val="0"/>
        <w:snapToGrid w:val="0"/>
        <w:spacing w:line="570" w:lineRule="atLeast"/>
        <w:jc w:val="both"/>
        <w:textAlignment w:val="auto"/>
        <w:outlineLvl w:val="9"/>
        <w:rPr>
          <w:rFonts w:hint="eastAsia" w:ascii="仿宋_GB2312" w:hAnsi="仿宋_GB2312" w:eastAsia="仿宋_GB2312" w:cs="仿宋_GB2312"/>
          <w:color w:val="000000"/>
          <w:sz w:val="32"/>
          <w:szCs w:val="32"/>
          <w:shd w:val="clear" w:color="auto" w:fill="FFFFFF"/>
          <w:lang w:val="en-US" w:eastAsia="zh-CN"/>
        </w:rPr>
      </w:pPr>
      <w:r>
        <w:rPr>
          <w:color w:val="000000"/>
          <w:sz w:val="28"/>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333375</wp:posOffset>
                </wp:positionV>
                <wp:extent cx="555307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53075"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pt;margin-top:26.25pt;height:0.05pt;width:437.25pt;z-index:251661312;mso-width-relative:page;mso-height-relative:page;" filled="f" stroked="t" coordsize="21600,21600" o:gfxdata="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l6uQtUAAAAHAQAADwAAAAAA&#10;AAABACAAAAAiAAAAZHJzL2Rvd25yZXYueG1sUEsBAhQAFAAAAAgAh07iQHFbG7PdAQAAmQMAAA4A&#10;AAAAAAAAAQAgAAAAJAEAAGRycy9lMm9Eb2MueG1sUEsFBgAAAAAGAAYAWQEAAHMFAAAAAA==&#10;">
                <v:fill on="f" focussize="0,0"/>
                <v:stroke weight="1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570" w:lineRule="atLeast"/>
        <w:ind w:left="0"/>
        <w:textAlignment w:val="auto"/>
        <w:rPr>
          <w:rFonts w:hint="eastAsia"/>
          <w:sz w:val="18"/>
          <w:szCs w:val="28"/>
        </w:rPr>
      </w:pPr>
      <w:r>
        <w:rPr>
          <w:color w:val="000000"/>
          <w:sz w:val="28"/>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333375</wp:posOffset>
                </wp:positionV>
                <wp:extent cx="555307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553075"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pt;margin-top:26.25pt;height:0.05pt;width:437.25pt;z-index:251660288;mso-width-relative:page;mso-height-relative:page;" filled="f" stroked="t" coordsize="21600,21600" o:gfxdata="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l6uQtUAAAAHAQAADwAAAAAA&#10;AAABACAAAAAiAAAAZHJzL2Rvd25yZXYueG1sUEsBAhQAFAAAAAgAh07iQKdLFOndAQAAmQMAAA4A&#10;AAAAAAAAAQAgAAAAJAEAAGRycy9lMm9Eb2MueG1sUEsFBgAAAAAGAAYAWQEAAHMFAAAAAA==&#10;">
                <v:fill on="f" focussize="0,0"/>
                <v:stroke weight="1pt" color="#000000" joinstyle="round"/>
                <v:imagedata o:title=""/>
                <o:lock v:ext="edit" aspectratio="f"/>
              </v:line>
            </w:pict>
          </mc:Fallback>
        </mc:AlternateContent>
      </w:r>
      <w:r>
        <w:rPr>
          <w:rFonts w:hint="eastAsia" w:ascii="仿宋_GB2312" w:hAnsi="仿宋_GB2312" w:eastAsia="仿宋_GB2312" w:cs="仿宋_GB2312"/>
          <w:color w:val="000000"/>
          <w:sz w:val="28"/>
          <w:szCs w:val="28"/>
          <w:shd w:val="clear" w:color="auto" w:fill="FFFFFF"/>
          <w:lang w:val="en-US" w:eastAsia="zh-CN"/>
        </w:rPr>
        <w:t xml:space="preserve">  沈丘县人民政府办公室                    2020年1月17日印发</w:t>
      </w:r>
    </w:p>
    <w:bookmarkEnd w:id="0"/>
    <w:sectPr>
      <w:footerReference r:id="rId3" w:type="default"/>
      <w:footerReference r:id="rId4" w:type="even"/>
      <w:pgSz w:w="11906" w:h="16838"/>
      <w:pgMar w:top="2041" w:right="1531" w:bottom="204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4880610</wp:posOffset>
              </wp:positionH>
              <wp:positionV relativeFrom="paragraph">
                <wp:posOffset>-464820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4.3pt;margin-top:-36.6pt;height:144pt;width:144pt;mso-position-horizontal-relative:margin;mso-wrap-style:none;z-index:251659264;mso-width-relative:page;mso-height-relative:page;" filled="f" stroked="f" coordsize="21600,21600" o:gfxdata="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PIMbNkAAAAMAQAADwAAAAAA&#10;AAABACAAAAAiAAAAZHJzL2Rvd25yZXYueG1sUEsBAhQAFAAAAAgAh07iQErbzf8SAgAAEwQAAA4A&#10;AAAAAAAAAQAgAAAAKAEAAGRycy9lMm9Eb2MueG1sUEsFBgAAAAAGAAYAWQEAAKw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posOffset>129540</wp:posOffset>
              </wp:positionH>
              <wp:positionV relativeFrom="paragraph">
                <wp:posOffset>-480060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0.2pt;margin-top:-37.8pt;height:144pt;width:144pt;mso-position-horizontal-relative:margin;mso-wrap-style:none;z-index:251660288;mso-width-relative:page;mso-height-relative:page;" filled="f" stroked="f" coordsize="21600,21600" o:gfxdata="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MHJ3p1wAAAAoBAAAPAAAAAAAA&#10;AAEAIAAAACIAAABkcnMvZG93bnJldi54bWxQSwECFAAUAAAACACHTuJABdxysBMCAAATBAAADgAA&#10;AAAAAAABACAAAAAmAQAAZHJzL2Uyb0RvYy54bWxQSwUGAAAAAAYABgBZAQAAq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OThhN2MxNzc2ZDZmNmY1NDk5Y2VkNDUwNTdhMWYifQ=="/>
  </w:docVars>
  <w:rsids>
    <w:rsidRoot w:val="00000000"/>
    <w:rsid w:val="015974C0"/>
    <w:rsid w:val="0AFB6FF6"/>
    <w:rsid w:val="0B381EF4"/>
    <w:rsid w:val="0B574A70"/>
    <w:rsid w:val="0D266145"/>
    <w:rsid w:val="0DF77E44"/>
    <w:rsid w:val="11333889"/>
    <w:rsid w:val="13A520F1"/>
    <w:rsid w:val="15D66F20"/>
    <w:rsid w:val="19CC03D7"/>
    <w:rsid w:val="1C197B20"/>
    <w:rsid w:val="22A31EF1"/>
    <w:rsid w:val="26725891"/>
    <w:rsid w:val="27A24E6D"/>
    <w:rsid w:val="2AE23AAF"/>
    <w:rsid w:val="2B5C5333"/>
    <w:rsid w:val="2CCE400E"/>
    <w:rsid w:val="346A0AC1"/>
    <w:rsid w:val="347F27BE"/>
    <w:rsid w:val="3824540F"/>
    <w:rsid w:val="38BD1B07"/>
    <w:rsid w:val="40F167F2"/>
    <w:rsid w:val="47F24BFD"/>
    <w:rsid w:val="4F493C9D"/>
    <w:rsid w:val="50394114"/>
    <w:rsid w:val="51560F20"/>
    <w:rsid w:val="581D5CC6"/>
    <w:rsid w:val="582A3F3F"/>
    <w:rsid w:val="679241B0"/>
    <w:rsid w:val="684921C0"/>
    <w:rsid w:val="68B43ADD"/>
    <w:rsid w:val="78AD2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2398</Words>
  <Characters>2505</Characters>
  <Lines>0</Lines>
  <Paragraphs>0</Paragraphs>
  <TotalTime>23</TotalTime>
  <ScaleCrop>false</ScaleCrop>
  <LinksUpToDate>false</LinksUpToDate>
  <CharactersWithSpaces>2506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2022-10-16T02:29:00Z</dcterms:created>
  <dc:creator>Lenovo</dc:creator>
  <cp:lastModifiedBy>Administrator</cp:lastModifiedBy>
  <cp:lastPrinted>2022-10-16T09:52:00Z</cp:lastPrinted>
  <dcterms:modified xsi:type="dcterms:W3CDTF">2022-12-07T03:19:14Z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B9C91D771BE443FD9C7EA6543424D219</vt:lpwstr>
  </property>
</Properties>
</file>