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ascii="黑体" w:hAnsi="宋体" w:eastAsia="黑体" w:cs="黑体"/>
          <w:color w:val="333333"/>
          <w:sz w:val="31"/>
          <w:szCs w:val="31"/>
        </w:rPr>
        <w:t>一、2021年财政决算情况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2021年,全县一般公共预算收入完成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171277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103.3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8.49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%;政府性基金收入完成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207206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7.8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2021年,全县财政支出完成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837246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增长1.14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%。其中:一般公共预算支出完成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675950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万元,同比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增长2.46%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;政府性基金支出完成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161296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万元，同比下降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4.06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Style w:val="5"/>
          <w:rFonts w:hint="default" w:ascii="楷体_GB2312" w:eastAsia="楷体_GB2312" w:cs="楷体_GB2312"/>
          <w:color w:val="333333"/>
          <w:sz w:val="31"/>
          <w:szCs w:val="31"/>
        </w:rPr>
        <w:t>(一)一般公共预算收支决算情况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收入:一般公共预算收入完成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171277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万元，其中: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税收收入完成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127829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77.8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9.4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%。分税种具体情况是: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增值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税65801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40.08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下降2.8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企业所得税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8607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5.24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增长38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个人所得税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1937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1.18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10.7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资源税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422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0.26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20.6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城市维护建设税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6535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3.98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%，同比下降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1.5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房产税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984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0.6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20.6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印花税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1207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0.74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9.5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城镇土地使用税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5538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3.37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%，同比下降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57.2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土地增值税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5074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3.09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%，同比下降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15.4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车船税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6208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3.78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 xml:space="preserve">下降22.2 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耕地占用税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16922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</w:t>
      </w:r>
      <w:r>
        <w:rPr>
          <w:rFonts w:hint="eastAsia" w:ascii="仿宋_GB2312" w:eastAsia="仿宋_GB2312" w:cs="仿宋_GB2312"/>
          <w:color w:val="333333"/>
          <w:sz w:val="31"/>
          <w:szCs w:val="31"/>
          <w:lang w:eastAsia="zh-CN"/>
        </w:rPr>
        <w:t>，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5.17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 xml:space="preserve">增长67.9 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契税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16922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的10.3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67.9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环境保护税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100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0.06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增长38.9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非税收入完成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43448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22.2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下降14.9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%。分项目情况是: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专项收入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5598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3.4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下降3.41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行政事业性收费收入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5572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3.39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60.78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罚没收入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6611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4.03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17.3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国有资源(资产)有偿使用收入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23018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14.02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133.6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  <w:lang w:val="en-US" w:eastAsia="zh-CN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捐赠收入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47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0.03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上年度为0万元。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当年收入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171277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万元，加上级补助收入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412572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万元、债券转贷收入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40503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万元、调入预算稳定调节基金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1208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万元、调入资金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118822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万元后，决算总收入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746896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支出:年初预算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661530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万元加预算执行中上级补助、调入资金、债券转贷收入等调整因素增支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79912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万元，调整预算为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675950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万元。当年决算支出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741442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91.2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%，同比下降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0.25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%。主要项目执行情况是:  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一般公共服务支出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102957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14.27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%，同比下降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eastAsia" w:ascii="仿宋_GB2312" w:eastAsia="仿宋_GB2312" w:cs="仿宋_GB2312"/>
          <w:color w:val="333333"/>
          <w:sz w:val="31"/>
          <w:szCs w:val="31"/>
          <w:lang w:eastAsia="zh-CN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国防支出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76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0.01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</w:t>
      </w:r>
      <w:r>
        <w:rPr>
          <w:rFonts w:hint="eastAsia" w:ascii="仿宋_GB2312" w:eastAsia="仿宋_GB2312" w:cs="仿宋_GB2312"/>
          <w:color w:val="333333"/>
          <w:sz w:val="31"/>
          <w:szCs w:val="31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公共安全支出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23036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3.19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%，同比下降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4.1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教育支出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163901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22.72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6.5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科学技术支出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10795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1.5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33.7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文化旅游体育与传媒支出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4654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0.65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增长33.3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</w:t>
      </w:r>
      <w:bookmarkStart w:id="0" w:name="_GoBack"/>
      <w:bookmarkEnd w:id="0"/>
      <w:r>
        <w:rPr>
          <w:rFonts w:hint="default" w:ascii="仿宋_GB2312" w:eastAsia="仿宋_GB2312" w:cs="仿宋_GB2312"/>
          <w:color w:val="333333"/>
          <w:sz w:val="31"/>
          <w:szCs w:val="31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社会保障和就业支出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74723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10.36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增长3.3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卫生健康支出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95030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13.17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增长7.7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节能环保支出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8014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1.11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增长57.4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城乡社区支出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24219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3.35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%，同比下降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0.5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农林水支出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103206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14.31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增长0.5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交通运输支出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20444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2.83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%，同比下降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6.7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资源勘探工业信息等支出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641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0.09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增长37.8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商业服务业等支出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1503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0.21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增长27.9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自然资源海洋气象等支出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3416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 xml:space="preserve"> 0.47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1.4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住房保障支出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23766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3.29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29.5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粮油物资储备支出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3469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0.48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增长43.9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灾害防治及应急管理支出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3084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0.43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36.7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债务付息支出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8585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1.19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下降2.7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当年决算支出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675950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万元，加上解支出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38216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万元、债务还本支出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21691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万元、安排预算稳定调节基金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10104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万元后，决算总支出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745961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平衡情况:收支相抵，年末结转结余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935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万元，主要是年终结转由权责发生制核算改为收付实现制核算，年终由财政结转下年使用。  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Style w:val="5"/>
          <w:rFonts w:hint="default" w:ascii="楷体_GB2312" w:eastAsia="楷体_GB2312" w:cs="楷体_GB2312"/>
          <w:color w:val="333333"/>
          <w:sz w:val="31"/>
          <w:szCs w:val="31"/>
        </w:rPr>
        <w:t>(二)政府性基金预算收支情况  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收入:政府性基金收入完成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207206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万元，加上级补助收入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 xml:space="preserve"> 3083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万元、债务转贷收入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127300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万元后，决算总收入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379684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万元。主要项目完成情况是:  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国有土地使用权出让收入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188136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60.69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7.7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城市基础设施配套费收入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12113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3.91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69.6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污水处理费收入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 xml:space="preserve"> 1200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0.39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64.4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支出:年初预算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309993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万元加预算执行中的上级补助、债券转贷、上年结余及超短收等调整因素增支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53730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万元，调整预算为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363723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万元。当年决算支出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379684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104.4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增长37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%。主要项目执行情况是:  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社会保障和就业支出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持平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城乡社区支出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148885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40.9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41.2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%(主要原因是棚户区改造专项债券较上年大幅增加);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债务付息支出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7042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万元，占调整预算的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1.93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15.8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当年决算支出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207206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万元，加上解上级支出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130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万元、债务还本支出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8299万元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，决算总支出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379684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平衡情况:收支相抵，年末结转结余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91137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万元，主要是年终结转由权责发生制核算改为收付实现制核算，年终由财政结转下年使用。  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Style w:val="5"/>
          <w:rFonts w:hint="default" w:ascii="楷体_GB2312" w:eastAsia="楷体_GB2312" w:cs="楷体_GB2312"/>
          <w:color w:val="333333"/>
          <w:sz w:val="31"/>
          <w:szCs w:val="31"/>
        </w:rPr>
        <w:t>(三)社会保险基金预算收支情况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收入:社会保险基金收入完成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195632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28854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增长7.6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%。分项目收入情况是: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机关养老基金收入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42145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108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增长50.5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城乡居民养老基金收入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28993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71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200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支出:完成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185972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270615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5.8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%。分项目支出情况是: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机关养老基金支出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40017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103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8.95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城乡居民养老基金支出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26861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万元，占预算的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92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%，同比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下降13.9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平衡情况:收支相抵，社保基金年末滚存结余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160162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万元(当年净结余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9660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万元)，其中:机关养老基金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2128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万元，城乡居民养老基金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2132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Style w:val="5"/>
          <w:rFonts w:hint="default" w:ascii="楷体_GB2312" w:eastAsia="楷体_GB2312" w:cs="楷体_GB2312"/>
          <w:color w:val="333333"/>
          <w:sz w:val="31"/>
          <w:szCs w:val="31"/>
        </w:rPr>
        <w:t>(四)国有资本经营预算收支情况  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309" w:leftChars="147" w:right="0" w:firstLine="310" w:firstLineChars="10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收入:国有资本经营预算收入完成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万元，加上级补助收入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万元，决算总收入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71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支出:国有资本经营预算支出完成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万元，加调出资金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万元，决算总支出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71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平衡情况:收支相抵，年末结转结余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71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万元，主要是年终结转由权责发生制核算改为收付实现制核算，年终由财政结转下年使用。    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Style w:val="5"/>
          <w:rFonts w:hint="default" w:ascii="楷体_GB2312" w:eastAsia="楷体_GB2312" w:cs="楷体_GB2312"/>
          <w:color w:val="333333"/>
          <w:sz w:val="31"/>
          <w:szCs w:val="31"/>
        </w:rPr>
        <w:t>(五)预备费使用情况  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动用年初预算预备费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9396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万元，主要用于疫情防控和应急物资储备等。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Style w:val="5"/>
          <w:rFonts w:hint="default" w:ascii="楷体_GB2312" w:eastAsia="楷体_GB2312" w:cs="楷体_GB2312"/>
          <w:color w:val="333333"/>
          <w:sz w:val="31"/>
          <w:szCs w:val="31"/>
        </w:rPr>
        <w:t>(六)“三公”经费支出情况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2021年部门决算反映，县级“三公”经费支出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420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万元，比上年增支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233.1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万元，增长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124.72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%，主要是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运行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费增加。其中:因公出国(境)费0万元，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同比持平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;公务用车运行维护费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284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与上年同比增支125.86万元，增长79.59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;公车购置费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0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万元;公务接待费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136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增长372.88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Style w:val="5"/>
          <w:rFonts w:hint="default" w:ascii="楷体_GB2312" w:eastAsia="楷体_GB2312" w:cs="楷体_GB2312"/>
          <w:color w:val="333333"/>
          <w:sz w:val="31"/>
          <w:szCs w:val="31"/>
        </w:rPr>
        <w:t>(七)政府债务情况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2021年，全县新增债务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146353.3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万元，均为省政府转贷地方政府债券，其中:一般债券转贷收入增加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19044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万元，主要安排用于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沈丘县第一小学2000万元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、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沈丘县第三小学2000万元、沈丘县北城第二实验小学3300万元、沈丘县槐店回族镇第二小学2000万元、安钢产业园配套市政工程2000万元、沈丘县Y601槐店镇贾寨交S207至东和路三级公路新建工程1000万元、S211沈丘县城至（郑合高铁）北站连接改建工程2300万元、梦想植物园项目4444万元。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截至2021年底，我县政府债务系统债务余额达到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550040.9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万元，债务率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68.66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%，其中:一般债务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2460166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万元、专项债务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304015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万元、外债转贷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9.3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万元，省财政厅下达我县债务限额为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635157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万元，债务余额在债务限额之内，风险可控。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Style w:val="5"/>
          <w:rFonts w:hint="default" w:ascii="楷体_GB2312" w:eastAsia="楷体_GB2312" w:cs="楷体_GB2312"/>
          <w:color w:val="333333"/>
          <w:sz w:val="31"/>
          <w:szCs w:val="31"/>
        </w:rPr>
        <w:t>(八)结转结余情况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20"/>
        <w:jc w:val="left"/>
        <w:rPr>
          <w:rFonts w:hint="default" w:ascii="仿宋_GB2312" w:eastAsia="仿宋_GB2312" w:cs="仿宋_GB2312"/>
          <w:color w:val="333333"/>
          <w:sz w:val="31"/>
          <w:szCs w:val="31"/>
        </w:rPr>
      </w:pPr>
      <w:r>
        <w:rPr>
          <w:rFonts w:hint="default" w:ascii="仿宋_GB2312" w:eastAsia="仿宋_GB2312" w:cs="仿宋_GB2312"/>
          <w:color w:val="333333"/>
          <w:sz w:val="31"/>
          <w:szCs w:val="31"/>
        </w:rPr>
        <w:t>2021年，财政结转结余资金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92143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万元，其中:一般公共预算资金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935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万元，政府性基金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91137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万元，国有资本经营</w:t>
      </w:r>
      <w:r>
        <w:rPr>
          <w:rFonts w:hint="eastAsia" w:ascii="仿宋_GB2312" w:eastAsia="仿宋_GB2312" w:cs="仿宋_GB2312"/>
          <w:color w:val="333333"/>
          <w:sz w:val="31"/>
          <w:szCs w:val="31"/>
          <w:lang w:val="en-US" w:eastAsia="zh-CN"/>
        </w:rPr>
        <w:t>71</w:t>
      </w:r>
      <w:r>
        <w:rPr>
          <w:rFonts w:hint="default" w:ascii="仿宋_GB2312" w:eastAsia="仿宋_GB2312" w:cs="仿宋_GB2312"/>
          <w:color w:val="333333"/>
          <w:sz w:val="31"/>
          <w:szCs w:val="31"/>
        </w:rPr>
        <w:t>万元，结转资金2022年继续使用。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ZTZjMDViZjQ1YzM1YmM0NmQyNTA0MjYyYWRmNmMifQ=="/>
  </w:docVars>
  <w:rsids>
    <w:rsidRoot w:val="00000000"/>
    <w:rsid w:val="01C70511"/>
    <w:rsid w:val="085F360E"/>
    <w:rsid w:val="0AF23FA4"/>
    <w:rsid w:val="1C672639"/>
    <w:rsid w:val="1ED00B55"/>
    <w:rsid w:val="27615FA2"/>
    <w:rsid w:val="2D3F6209"/>
    <w:rsid w:val="48577CDE"/>
    <w:rsid w:val="5B946FD3"/>
    <w:rsid w:val="5F3B2339"/>
    <w:rsid w:val="750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2646</Words>
  <Characters>3621</Characters>
  <Lines>0</Lines>
  <Paragraphs>0</Paragraphs>
  <TotalTime>92</TotalTime>
  <ScaleCrop>false</ScaleCrop>
  <LinksUpToDate>false</LinksUpToDate>
  <CharactersWithSpaces>3634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2022-08-30T00:45:00Z</dcterms:created>
  <dc:creator>lenovo</dc:creator>
  <cp:lastModifiedBy>lenovo</cp:lastModifiedBy>
  <dcterms:modified xsi:type="dcterms:W3CDTF">2022-09-06T03:20:57Z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1693175B4A854E6A990F41CD5BB24358</vt:lpwstr>
  </property>
</Properties>
</file>