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沈丘县2020年取消的证明事项清单</w:t>
      </w:r>
    </w:p>
    <w:tbl>
      <w:tblPr>
        <w:tblStyle w:val="3"/>
        <w:tblpPr w:leftFromText="180" w:rightFromText="180" w:vertAnchor="text" w:horzAnchor="page" w:tblpX="1126" w:tblpY="592"/>
        <w:tblOverlap w:val="never"/>
        <w:tblW w:w="14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83"/>
        <w:gridCol w:w="1817"/>
        <w:gridCol w:w="2217"/>
        <w:gridCol w:w="2116"/>
        <w:gridCol w:w="2200"/>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16"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eastAsia="zh-CN"/>
              </w:rPr>
              <w:t>序号</w:t>
            </w:r>
          </w:p>
        </w:tc>
        <w:tc>
          <w:tcPr>
            <w:tcW w:w="1783"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单位名称</w:t>
            </w:r>
          </w:p>
        </w:tc>
        <w:tc>
          <w:tcPr>
            <w:tcW w:w="1817"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eastAsia="zh-CN"/>
              </w:rPr>
              <w:t>证明名称</w:t>
            </w:r>
          </w:p>
        </w:tc>
        <w:tc>
          <w:tcPr>
            <w:tcW w:w="2217"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设定依据</w:t>
            </w:r>
          </w:p>
        </w:tc>
        <w:tc>
          <w:tcPr>
            <w:tcW w:w="2116"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eastAsia="zh-CN"/>
              </w:rPr>
              <w:t>证明开具单位</w:t>
            </w:r>
          </w:p>
        </w:tc>
        <w:tc>
          <w:tcPr>
            <w:tcW w:w="2200"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证明用途</w:t>
            </w:r>
          </w:p>
        </w:tc>
        <w:tc>
          <w:tcPr>
            <w:tcW w:w="3417"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证明取消后的办理方式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783"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817"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217"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16"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200"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3417"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783"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18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17"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116"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2200" w:type="dxa"/>
            <w:noWrap w:val="0"/>
            <w:vAlign w:val="top"/>
          </w:tcPr>
          <w:p>
            <w:pPr>
              <w:jc w:val="left"/>
              <w:rPr>
                <w:rFonts w:hint="eastAsia" w:ascii="仿宋_GB2312" w:hAnsi="仿宋_GB2312" w:eastAsia="仿宋_GB2312" w:cs="仿宋_GB2312"/>
                <w:sz w:val="32"/>
                <w:szCs w:val="32"/>
                <w:vertAlign w:val="baseline"/>
                <w:lang w:val="en-US" w:eastAsia="zh-CN"/>
              </w:rPr>
            </w:pPr>
          </w:p>
        </w:tc>
        <w:tc>
          <w:tcPr>
            <w:tcW w:w="3417" w:type="dxa"/>
            <w:noWrap w:val="0"/>
            <w:vAlign w:val="top"/>
          </w:tcPr>
          <w:p>
            <w:pPr>
              <w:jc w:val="left"/>
              <w:rPr>
                <w:rFonts w:hint="eastAsia" w:ascii="仿宋_GB2312" w:hAnsi="仿宋_GB2312" w:eastAsia="仿宋_GB2312" w:cs="仿宋_GB2312"/>
                <w:sz w:val="32"/>
                <w:szCs w:val="32"/>
                <w:vertAlign w:val="baseline"/>
                <w:lang w:val="en-US" w:eastAsia="zh-CN"/>
              </w:rPr>
            </w:pPr>
          </w:p>
        </w:tc>
      </w:tr>
    </w:tbl>
    <w:p>
      <w:pPr>
        <w:jc w:val="center"/>
        <w:rPr>
          <w:rFonts w:hint="eastAsia" w:ascii="仿宋_GB2312" w:hAnsi="仿宋_GB2312" w:eastAsia="仿宋_GB2312" w:cs="仿宋_GB2312"/>
          <w:sz w:val="32"/>
          <w:szCs w:val="32"/>
          <w:lang w:val="en-US" w:eastAsia="zh-CN"/>
        </w:rPr>
        <w:sectPr>
          <w:pgSz w:w="16783" w:h="11850" w:orient="landscape"/>
          <w:pgMar w:top="1587" w:right="1984" w:bottom="1474" w:left="1871" w:header="851" w:footer="992" w:gutter="0"/>
          <w:pgNumType w:fmt="decimal"/>
          <w:cols w:space="720" w:num="1"/>
          <w:rtlGutter w:val="0"/>
          <w:docGrid w:type="lines" w:linePitch="324" w:charSpace="0"/>
        </w:sectPr>
      </w:pPr>
    </w:p>
    <w:p>
      <w:pPr>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沈丘县保留的证明事项清单</w:t>
      </w:r>
    </w:p>
    <w:tbl>
      <w:tblPr>
        <w:tblStyle w:val="3"/>
        <w:tblpPr w:leftFromText="180" w:rightFromText="180" w:vertAnchor="text" w:horzAnchor="page" w:tblpX="1254" w:tblpY="592"/>
        <w:tblOverlap w:val="never"/>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847"/>
        <w:gridCol w:w="1889"/>
        <w:gridCol w:w="3569"/>
        <w:gridCol w:w="2181"/>
        <w:gridCol w:w="216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3"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序号</w:t>
            </w:r>
          </w:p>
        </w:tc>
        <w:tc>
          <w:tcPr>
            <w:tcW w:w="1847"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单位名称</w:t>
            </w:r>
          </w:p>
        </w:tc>
        <w:tc>
          <w:tcPr>
            <w:tcW w:w="188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证明名称</w:t>
            </w:r>
          </w:p>
        </w:tc>
        <w:tc>
          <w:tcPr>
            <w:tcW w:w="356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设定依据</w:t>
            </w:r>
          </w:p>
        </w:tc>
        <w:tc>
          <w:tcPr>
            <w:tcW w:w="2181" w:type="dxa"/>
            <w:noWrap w:val="0"/>
            <w:vAlign w:val="top"/>
          </w:tcPr>
          <w:p>
            <w:pPr>
              <w:jc w:val="both"/>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证明开具单位</w:t>
            </w:r>
          </w:p>
        </w:tc>
        <w:tc>
          <w:tcPr>
            <w:tcW w:w="2165" w:type="dxa"/>
            <w:noWrap w:val="0"/>
            <w:vAlign w:val="top"/>
          </w:tcPr>
          <w:p>
            <w:pPr>
              <w:jc w:val="center"/>
              <w:rPr>
                <w:rFonts w:hint="eastAsia" w:ascii="仿宋_GB2312" w:hAnsi="仿宋_GB2312" w:eastAsia="仿宋_GB2312" w:cs="仿宋_GB2312"/>
                <w:sz w:val="30"/>
                <w:szCs w:val="30"/>
                <w:vertAlign w:val="baseline"/>
                <w:lang w:eastAsia="zh-CN"/>
              </w:rPr>
            </w:pPr>
            <w:r>
              <w:rPr>
                <w:rFonts w:hint="eastAsia" w:asciiTheme="majorEastAsia" w:hAnsiTheme="majorEastAsia" w:eastAsiaTheme="majorEastAsia" w:cstheme="majorEastAsia"/>
                <w:b/>
                <w:bCs/>
                <w:sz w:val="32"/>
                <w:szCs w:val="32"/>
                <w:vertAlign w:val="baseline"/>
                <w:lang w:val="en-US" w:eastAsia="zh-CN"/>
              </w:rPr>
              <w:t>证明用途</w:t>
            </w:r>
          </w:p>
        </w:tc>
        <w:tc>
          <w:tcPr>
            <w:tcW w:w="1943" w:type="dxa"/>
            <w:noWrap w:val="0"/>
            <w:vAlign w:val="top"/>
          </w:tcPr>
          <w:p>
            <w:pPr>
              <w:jc w:val="center"/>
              <w:rPr>
                <w:rFonts w:hint="eastAsia" w:ascii="仿宋_GB2312" w:hAnsi="仿宋_GB2312" w:eastAsia="仿宋_GB2312" w:cs="仿宋_GB2312"/>
                <w:sz w:val="30"/>
                <w:szCs w:val="30"/>
                <w:vertAlign w:val="baseline"/>
                <w:lang w:eastAsia="zh-CN"/>
              </w:rPr>
            </w:pPr>
            <w:r>
              <w:rPr>
                <w:rFonts w:hint="eastAsia" w:asciiTheme="majorEastAsia" w:hAnsiTheme="majorEastAsia" w:eastAsiaTheme="majorEastAsia" w:cstheme="majorEastAsia"/>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183" w:type="dxa"/>
            <w:noWrap w:val="0"/>
            <w:vAlign w:val="top"/>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1</w:t>
            </w:r>
          </w:p>
        </w:tc>
        <w:tc>
          <w:tcPr>
            <w:tcW w:w="1847" w:type="dxa"/>
            <w:vMerge w:val="restart"/>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民政局</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p>
        </w:tc>
        <w:tc>
          <w:tcPr>
            <w:tcW w:w="188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收养人无子女和抚养教育能力证明</w:t>
            </w:r>
          </w:p>
        </w:tc>
        <w:tc>
          <w:tcPr>
            <w:tcW w:w="356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《中国公民收养子女登记办法》（1999年5月25日民政部第14号令发布）第五条</w:t>
            </w:r>
          </w:p>
        </w:tc>
        <w:tc>
          <w:tcPr>
            <w:tcW w:w="2181"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由收养人所在单位或所在村（居）委会、常居住地计划生育部门</w:t>
            </w:r>
          </w:p>
        </w:tc>
        <w:tc>
          <w:tcPr>
            <w:tcW w:w="2165"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办理收养登记</w:t>
            </w:r>
          </w:p>
        </w:tc>
        <w:tc>
          <w:tcPr>
            <w:tcW w:w="1943" w:type="dxa"/>
            <w:noWrap w:val="0"/>
            <w:vAlign w:val="top"/>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83"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2</w:t>
            </w:r>
          </w:p>
        </w:tc>
        <w:tc>
          <w:tcPr>
            <w:tcW w:w="1847" w:type="dxa"/>
            <w:vMerge w:val="continue"/>
            <w:noWrap w:val="0"/>
            <w:vAlign w:val="top"/>
          </w:tcPr>
          <w:p>
            <w:pPr>
              <w:jc w:val="center"/>
              <w:rPr>
                <w:rFonts w:hint="eastAsia" w:ascii="仿宋_GB2312" w:hAnsi="仿宋_GB2312" w:eastAsia="仿宋_GB2312" w:cs="仿宋_GB2312"/>
                <w:sz w:val="32"/>
                <w:szCs w:val="32"/>
                <w:vertAlign w:val="baseline"/>
                <w:lang w:val="en-US" w:eastAsia="zh-CN"/>
              </w:rPr>
            </w:pPr>
          </w:p>
        </w:tc>
        <w:tc>
          <w:tcPr>
            <w:tcW w:w="1889" w:type="dxa"/>
            <w:noWrap w:val="0"/>
            <w:vAlign w:val="top"/>
          </w:tcPr>
          <w:p>
            <w:pPr>
              <w:jc w:val="both"/>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捡拾弃婴、儿童报案证明</w:t>
            </w:r>
          </w:p>
        </w:tc>
        <w:tc>
          <w:tcPr>
            <w:tcW w:w="356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181"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公安机关</w:t>
            </w:r>
          </w:p>
        </w:tc>
        <w:tc>
          <w:tcPr>
            <w:tcW w:w="2165"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办理送养登记</w:t>
            </w:r>
          </w:p>
        </w:tc>
        <w:tc>
          <w:tcPr>
            <w:tcW w:w="1943" w:type="dxa"/>
            <w:noWrap w:val="0"/>
            <w:vAlign w:val="top"/>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183"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3</w:t>
            </w:r>
          </w:p>
        </w:tc>
        <w:tc>
          <w:tcPr>
            <w:tcW w:w="1847" w:type="dxa"/>
            <w:vMerge w:val="continue"/>
            <w:noWrap w:val="0"/>
            <w:vAlign w:val="top"/>
          </w:tcPr>
          <w:p>
            <w:pPr>
              <w:jc w:val="center"/>
              <w:rPr>
                <w:rFonts w:hint="eastAsia" w:ascii="仿宋_GB2312" w:hAnsi="仿宋_GB2312" w:eastAsia="仿宋_GB2312" w:cs="仿宋_GB2312"/>
                <w:sz w:val="32"/>
                <w:szCs w:val="32"/>
                <w:vertAlign w:val="baseline"/>
                <w:lang w:val="en-US" w:eastAsia="zh-CN"/>
              </w:rPr>
            </w:pPr>
          </w:p>
        </w:tc>
        <w:tc>
          <w:tcPr>
            <w:tcW w:w="1889"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收养人有亲属关系的证明</w:t>
            </w:r>
          </w:p>
        </w:tc>
        <w:tc>
          <w:tcPr>
            <w:tcW w:w="3569"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181"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公安机关、公证处</w:t>
            </w:r>
          </w:p>
        </w:tc>
        <w:tc>
          <w:tcPr>
            <w:tcW w:w="2165"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办理收养登记</w:t>
            </w:r>
          </w:p>
        </w:tc>
        <w:tc>
          <w:tcPr>
            <w:tcW w:w="1943"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子女由三代以内同辈旁系血亲收养的，需收养人有亲属关系的证明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83" w:type="dxa"/>
            <w:noWrap w:val="0"/>
            <w:vAlign w:val="top"/>
          </w:tcPr>
          <w:p>
            <w:pPr>
              <w:jc w:val="both"/>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4</w:t>
            </w:r>
          </w:p>
        </w:tc>
        <w:tc>
          <w:tcPr>
            <w:tcW w:w="1847" w:type="dxa"/>
            <w:vMerge w:val="continue"/>
            <w:noWrap w:val="0"/>
            <w:vAlign w:val="top"/>
          </w:tcPr>
          <w:p>
            <w:pPr>
              <w:jc w:val="center"/>
              <w:rPr>
                <w:rFonts w:hint="eastAsia" w:ascii="仿宋_GB2312" w:hAnsi="仿宋_GB2312" w:eastAsia="仿宋_GB2312" w:cs="仿宋_GB2312"/>
                <w:sz w:val="32"/>
                <w:szCs w:val="32"/>
                <w:vertAlign w:val="baseline"/>
                <w:lang w:val="en-US" w:eastAsia="zh-CN"/>
              </w:rPr>
            </w:pPr>
          </w:p>
        </w:tc>
        <w:tc>
          <w:tcPr>
            <w:tcW w:w="188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送养人有特殊困难、无力抚养证明</w:t>
            </w:r>
          </w:p>
        </w:tc>
        <w:tc>
          <w:tcPr>
            <w:tcW w:w="356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181"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当地政府、村（居）委会</w:t>
            </w:r>
          </w:p>
        </w:tc>
        <w:tc>
          <w:tcPr>
            <w:tcW w:w="2165"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办理收养登记</w:t>
            </w:r>
          </w:p>
        </w:tc>
        <w:tc>
          <w:tcPr>
            <w:tcW w:w="1943" w:type="dxa"/>
            <w:noWrap w:val="0"/>
            <w:vAlign w:val="top"/>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83"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5</w:t>
            </w:r>
          </w:p>
        </w:tc>
        <w:tc>
          <w:tcPr>
            <w:tcW w:w="1847"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教体局</w:t>
            </w:r>
          </w:p>
        </w:tc>
        <w:tc>
          <w:tcPr>
            <w:tcW w:w="1889"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进城务工人员随迁子女就读证明</w:t>
            </w:r>
          </w:p>
        </w:tc>
        <w:tc>
          <w:tcPr>
            <w:tcW w:w="3569"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《河南省人民政府关于进一步做好进城务工农民随迁子女义务教育工作的意见》（豫政[2010]54号）第三条</w:t>
            </w:r>
          </w:p>
        </w:tc>
        <w:tc>
          <w:tcPr>
            <w:tcW w:w="2181"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户籍所在地教育部门</w:t>
            </w:r>
          </w:p>
        </w:tc>
        <w:tc>
          <w:tcPr>
            <w:tcW w:w="2165"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办理随迁子女入学</w:t>
            </w:r>
          </w:p>
        </w:tc>
        <w:tc>
          <w:tcPr>
            <w:tcW w:w="1943"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 w:hAnsi="仿宋" w:eastAsia="仿宋" w:cs="仿宋"/>
                <w:sz w:val="24"/>
                <w:szCs w:val="24"/>
                <w:vertAlign w:val="baseline"/>
                <w:lang w:val="en-US" w:eastAsia="zh-CN"/>
              </w:rPr>
              <w:t>对外出具证明</w:t>
            </w:r>
          </w:p>
        </w:tc>
      </w:tr>
    </w:tbl>
    <w:tbl>
      <w:tblPr>
        <w:tblStyle w:val="3"/>
        <w:tblW w:w="14787"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95"/>
        <w:gridCol w:w="2040"/>
        <w:gridCol w:w="3585"/>
        <w:gridCol w:w="2160"/>
        <w:gridCol w:w="217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序号</w:t>
            </w:r>
          </w:p>
        </w:tc>
        <w:tc>
          <w:tcPr>
            <w:tcW w:w="169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单位名称</w:t>
            </w:r>
          </w:p>
        </w:tc>
        <w:tc>
          <w:tcPr>
            <w:tcW w:w="2040"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证明名称</w:t>
            </w:r>
          </w:p>
        </w:tc>
        <w:tc>
          <w:tcPr>
            <w:tcW w:w="358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设定依据</w:t>
            </w:r>
          </w:p>
        </w:tc>
        <w:tc>
          <w:tcPr>
            <w:tcW w:w="2160"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证明开具单位</w:t>
            </w:r>
          </w:p>
        </w:tc>
        <w:tc>
          <w:tcPr>
            <w:tcW w:w="2175"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证明用途</w:t>
            </w:r>
          </w:p>
        </w:tc>
        <w:tc>
          <w:tcPr>
            <w:tcW w:w="1917"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215" w:type="dxa"/>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69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民宗局</w:t>
            </w:r>
          </w:p>
        </w:tc>
        <w:tc>
          <w:tcPr>
            <w:tcW w:w="204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离任场所教职的注销备案证明</w:t>
            </w:r>
          </w:p>
        </w:tc>
        <w:tc>
          <w:tcPr>
            <w:tcW w:w="358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国家宗教事务局令第4号《宗教活动场所主要教职人员任职备案办法》第五条</w:t>
            </w:r>
          </w:p>
        </w:tc>
        <w:tc>
          <w:tcPr>
            <w:tcW w:w="2160"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离任场所所在的县市级宗教事务部门</w:t>
            </w:r>
          </w:p>
        </w:tc>
        <w:tc>
          <w:tcPr>
            <w:tcW w:w="217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w:t>
            </w:r>
            <w:bookmarkStart w:id="0" w:name="_GoBack"/>
            <w:bookmarkEnd w:id="0"/>
            <w:r>
              <w:rPr>
                <w:rFonts w:hint="eastAsia" w:ascii="仿宋" w:hAnsi="仿宋" w:eastAsia="仿宋" w:cs="仿宋"/>
                <w:sz w:val="24"/>
                <w:szCs w:val="24"/>
                <w:vertAlign w:val="baseline"/>
                <w:lang w:val="en-US" w:eastAsia="zh-CN"/>
              </w:rPr>
              <w:t>任职备案手续</w:t>
            </w:r>
          </w:p>
        </w:tc>
        <w:tc>
          <w:tcPr>
            <w:tcW w:w="1917"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695"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司法局</w:t>
            </w:r>
          </w:p>
        </w:tc>
        <w:tc>
          <w:tcPr>
            <w:tcW w:w="204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经济困难证明</w:t>
            </w:r>
          </w:p>
        </w:tc>
        <w:tc>
          <w:tcPr>
            <w:tcW w:w="358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《法律援助条例》（国务院令第385号）第十六条、第十七条</w:t>
            </w:r>
          </w:p>
        </w:tc>
        <w:tc>
          <w:tcPr>
            <w:tcW w:w="2160"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乡镇人民政府、街道办事处、村（居）委会</w:t>
            </w:r>
          </w:p>
        </w:tc>
        <w:tc>
          <w:tcPr>
            <w:tcW w:w="217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申请法律援助</w:t>
            </w:r>
          </w:p>
        </w:tc>
        <w:tc>
          <w:tcPr>
            <w:tcW w:w="191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公民申请民事代理、刑事辩护等案件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695"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市场监管局</w:t>
            </w:r>
          </w:p>
        </w:tc>
        <w:tc>
          <w:tcPr>
            <w:tcW w:w="2040"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清税证明</w:t>
            </w:r>
          </w:p>
        </w:tc>
        <w:tc>
          <w:tcPr>
            <w:tcW w:w="358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《国家工商行政管理总局 国家税务总局关于做好“三证合一”有关工作衔接的通知》（工商企注字</w:t>
            </w:r>
            <w:r>
              <w:rPr>
                <w:rFonts w:hint="eastAsia" w:ascii="仿宋" w:hAnsi="仿宋" w:eastAsia="仿宋" w:cs="仿宋"/>
                <w:sz w:val="24"/>
                <w:szCs w:val="24"/>
                <w:lang w:val="en-US" w:eastAsia="zh-CN"/>
              </w:rPr>
              <w:t>﹝2015﹞147号</w:t>
            </w:r>
            <w:r>
              <w:rPr>
                <w:rFonts w:hint="eastAsia" w:ascii="仿宋" w:hAnsi="仿宋" w:eastAsia="仿宋" w:cs="仿宋"/>
                <w:sz w:val="24"/>
                <w:szCs w:val="24"/>
                <w:vertAlign w:val="baseline"/>
                <w:lang w:val="en-US" w:eastAsia="zh-CN"/>
              </w:rPr>
              <w:t>）第二条</w:t>
            </w:r>
          </w:p>
        </w:tc>
        <w:tc>
          <w:tcPr>
            <w:tcW w:w="2160" w:type="dxa"/>
            <w:vAlign w:val="top"/>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税务机关</w:t>
            </w:r>
          </w:p>
        </w:tc>
        <w:tc>
          <w:tcPr>
            <w:tcW w:w="217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办理已实行“一照一码”登记模式的市场主体注销登记</w:t>
            </w:r>
          </w:p>
        </w:tc>
        <w:tc>
          <w:tcPr>
            <w:tcW w:w="1917"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69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卫健委</w:t>
            </w:r>
          </w:p>
        </w:tc>
        <w:tc>
          <w:tcPr>
            <w:tcW w:w="2040"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中医师承关系合同书</w:t>
            </w:r>
          </w:p>
        </w:tc>
        <w:tc>
          <w:tcPr>
            <w:tcW w:w="358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《传统医学师承和确有专长人员医师资格考核考试办法实施细则》（卫生部令[2002]第52号）第二章</w:t>
            </w:r>
          </w:p>
        </w:tc>
        <w:tc>
          <w:tcPr>
            <w:tcW w:w="2160"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公证处</w:t>
            </w:r>
          </w:p>
        </w:tc>
        <w:tc>
          <w:tcPr>
            <w:tcW w:w="217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办理传统医学传承确有专长人员审核</w:t>
            </w:r>
          </w:p>
        </w:tc>
        <w:tc>
          <w:tcPr>
            <w:tcW w:w="1917"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695" w:type="dxa"/>
            <w:vMerge w:val="restart"/>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人社局</w:t>
            </w:r>
          </w:p>
        </w:tc>
        <w:tc>
          <w:tcPr>
            <w:tcW w:w="204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依靠工亡职工生前提供生活来源的证明</w:t>
            </w:r>
          </w:p>
        </w:tc>
        <w:tc>
          <w:tcPr>
            <w:tcW w:w="358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《关于印发工伤保险经办规程的通知》（人社部发</w:t>
            </w:r>
            <w:r>
              <w:rPr>
                <w:rFonts w:hint="eastAsia" w:ascii="仿宋" w:hAnsi="仿宋" w:eastAsia="仿宋" w:cs="仿宋"/>
                <w:sz w:val="24"/>
                <w:szCs w:val="24"/>
                <w:lang w:val="en-US" w:eastAsia="zh-CN"/>
              </w:rPr>
              <w:t>﹝2015﹞147号</w:t>
            </w:r>
            <w:r>
              <w:rPr>
                <w:rFonts w:hint="eastAsia" w:ascii="仿宋" w:hAnsi="仿宋" w:eastAsia="仿宋" w:cs="仿宋"/>
                <w:sz w:val="24"/>
                <w:szCs w:val="24"/>
                <w:vertAlign w:val="baseline"/>
                <w:lang w:val="en-US" w:eastAsia="zh-CN"/>
              </w:rPr>
              <w:t>）第七十条</w:t>
            </w:r>
          </w:p>
        </w:tc>
        <w:tc>
          <w:tcPr>
            <w:tcW w:w="2160"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申请人户籍所在地</w:t>
            </w:r>
          </w:p>
        </w:tc>
        <w:tc>
          <w:tcPr>
            <w:tcW w:w="217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工伤保险待遇核定</w:t>
            </w:r>
          </w:p>
        </w:tc>
        <w:tc>
          <w:tcPr>
            <w:tcW w:w="1917"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695" w:type="dxa"/>
            <w:vMerge w:val="continue"/>
          </w:tcPr>
          <w:p>
            <w:pPr>
              <w:jc w:val="center"/>
              <w:rPr>
                <w:rFonts w:hint="eastAsia" w:ascii="仿宋" w:hAnsi="仿宋" w:eastAsia="仿宋" w:cs="仿宋"/>
                <w:sz w:val="24"/>
                <w:szCs w:val="24"/>
                <w:vertAlign w:val="baseline"/>
                <w:lang w:val="en-US" w:eastAsia="zh-CN"/>
              </w:rPr>
            </w:pPr>
          </w:p>
        </w:tc>
        <w:tc>
          <w:tcPr>
            <w:tcW w:w="204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变更、注销证明</w:t>
            </w:r>
          </w:p>
        </w:tc>
        <w:tc>
          <w:tcPr>
            <w:tcW w:w="358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《社会保险登记管理暂行办法》（中华人民共和国劳动和社会保障部令第</w:t>
            </w:r>
            <w:r>
              <w:rPr>
                <w:rFonts w:hint="eastAsia" w:ascii="仿宋" w:hAnsi="仿宋" w:eastAsia="仿宋" w:cs="仿宋"/>
                <w:sz w:val="24"/>
                <w:szCs w:val="24"/>
                <w:lang w:val="en-US" w:eastAsia="zh-CN"/>
              </w:rPr>
              <w:t>1号</w:t>
            </w:r>
            <w:r>
              <w:rPr>
                <w:rFonts w:hint="eastAsia" w:ascii="仿宋" w:hAnsi="仿宋" w:eastAsia="仿宋" w:cs="仿宋"/>
                <w:sz w:val="24"/>
                <w:szCs w:val="24"/>
                <w:vertAlign w:val="baseline"/>
                <w:lang w:val="en-US" w:eastAsia="zh-CN"/>
              </w:rPr>
              <w:t>）第三章第九条</w:t>
            </w:r>
          </w:p>
        </w:tc>
        <w:tc>
          <w:tcPr>
            <w:tcW w:w="2160"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批准机关</w:t>
            </w:r>
          </w:p>
        </w:tc>
        <w:tc>
          <w:tcPr>
            <w:tcW w:w="217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失业保险变更、注销登记，工伤保险变更登记、注销登记</w:t>
            </w:r>
          </w:p>
        </w:tc>
        <w:tc>
          <w:tcPr>
            <w:tcW w:w="1917" w:type="dxa"/>
            <w:vAlign w:val="top"/>
          </w:tcPr>
          <w:p>
            <w:pPr>
              <w:jc w:val="center"/>
              <w:rPr>
                <w:rFonts w:hint="eastAsia" w:ascii="仿宋" w:hAnsi="仿宋" w:eastAsia="仿宋" w:cs="仿宋"/>
                <w:sz w:val="24"/>
                <w:szCs w:val="24"/>
                <w:vertAlign w:val="baseline"/>
                <w:lang w:val="en-US" w:eastAsia="zh-CN"/>
              </w:rPr>
            </w:pPr>
          </w:p>
        </w:tc>
      </w:tr>
    </w:tbl>
    <w:p/>
    <w:sectPr>
      <w:pgSz w:w="16783" w:h="11850" w:orient="landscape"/>
      <w:pgMar w:top="1587" w:right="1984" w:bottom="1474" w:left="1871" w:header="851" w:footer="992" w:gutter="0"/>
      <w:pgNumType w:fmt="decimal"/>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513E7"/>
    <w:rsid w:val="1BED3DAF"/>
    <w:rsid w:val="25A073B5"/>
    <w:rsid w:val="46BB29C7"/>
    <w:rsid w:val="4992027B"/>
    <w:rsid w:val="54E513E7"/>
    <w:rsid w:val="57D91FD7"/>
    <w:rsid w:val="6E5D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2021-03-28T02:55:00Z</dcterms:created>
  <dc:creator>18638075655手机用户</dc:creator>
  <cp:lastModifiedBy>18638075655手机用户</cp:lastModifiedBy>
  <dcterms:modified xsi:type="dcterms:W3CDTF">2021-03-28T03:26:37Z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BAAD90EDCAE346FF9D748034B3FF1184</vt:lpwstr>
  </property>
</Properties>
</file>